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2E6" w:rsidRDefault="008C02E6" w:rsidP="00A619F4">
      <w:pPr>
        <w:pStyle w:val="BodyTextIndent2"/>
        <w:ind w:left="0" w:firstLine="0"/>
        <w:rPr>
          <w:rFonts w:ascii="Times New Roman" w:hAnsi="Times New Roman"/>
        </w:rPr>
      </w:pPr>
    </w:p>
    <w:p w:rsidR="00A619F4" w:rsidRDefault="00A619F4" w:rsidP="00A619F4">
      <w:pPr>
        <w:pStyle w:val="BodyTextIndent2"/>
        <w:ind w:left="0" w:firstLine="0"/>
        <w:rPr>
          <w:rFonts w:ascii="Times New Roman" w:hAnsi="Times New Roman"/>
        </w:rPr>
      </w:pPr>
    </w:p>
    <w:p w:rsidR="00D67E8B" w:rsidRDefault="00D67E8B" w:rsidP="00A619F4">
      <w:pPr>
        <w:pStyle w:val="BodyTextIndent2"/>
        <w:ind w:left="0" w:firstLine="0"/>
        <w:rPr>
          <w:rFonts w:ascii="Times New Roman" w:hAnsi="Times New Roman"/>
        </w:rPr>
      </w:pPr>
    </w:p>
    <w:p w:rsidR="00D67E8B" w:rsidRPr="00BB6251" w:rsidRDefault="00D67E8B" w:rsidP="00D67E8B">
      <w:pPr>
        <w:jc w:val="center"/>
        <w:rPr>
          <w:smallCaps/>
          <w:sz w:val="24"/>
        </w:rPr>
      </w:pPr>
      <w:r w:rsidRPr="00BB6251">
        <w:rPr>
          <w:smallCaps/>
          <w:sz w:val="24"/>
        </w:rPr>
        <w:t>Space Situational Awareness:</w:t>
      </w:r>
    </w:p>
    <w:p w:rsidR="00D67E8B" w:rsidRDefault="00D67E8B" w:rsidP="00D67E8B">
      <w:pPr>
        <w:jc w:val="center"/>
        <w:rPr>
          <w:smallCaps/>
          <w:sz w:val="24"/>
        </w:rPr>
      </w:pPr>
      <w:r w:rsidRPr="00BB6251">
        <w:rPr>
          <w:smallCaps/>
          <w:sz w:val="24"/>
        </w:rPr>
        <w:t>Need, Solutions and Some Consequences</w:t>
      </w:r>
    </w:p>
    <w:p w:rsidR="00D67E8B" w:rsidRDefault="00D67E8B" w:rsidP="00D67E8B">
      <w:pPr>
        <w:jc w:val="center"/>
        <w:rPr>
          <w:smallCaps/>
          <w:sz w:val="24"/>
        </w:rPr>
      </w:pPr>
    </w:p>
    <w:p w:rsidR="00D67E8B" w:rsidRDefault="00D67E8B" w:rsidP="00D67E8B">
      <w:pPr>
        <w:jc w:val="center"/>
        <w:rPr>
          <w:sz w:val="24"/>
        </w:rPr>
      </w:pPr>
      <w:r>
        <w:rPr>
          <w:sz w:val="24"/>
        </w:rPr>
        <w:t>A Presentation by Professor Sa’id Mosteshar</w:t>
      </w:r>
    </w:p>
    <w:p w:rsidR="00D67E8B" w:rsidRDefault="00D67E8B" w:rsidP="00D67E8B">
      <w:pPr>
        <w:jc w:val="center"/>
        <w:rPr>
          <w:sz w:val="24"/>
        </w:rPr>
      </w:pPr>
    </w:p>
    <w:p w:rsidR="00D67E8B" w:rsidRPr="000F6008" w:rsidRDefault="00D67E8B" w:rsidP="00D67E8B">
      <w:pPr>
        <w:jc w:val="center"/>
        <w:rPr>
          <w:sz w:val="20"/>
          <w:szCs w:val="20"/>
        </w:rPr>
      </w:pPr>
      <w:r w:rsidRPr="000F6008">
        <w:rPr>
          <w:sz w:val="20"/>
          <w:szCs w:val="20"/>
        </w:rPr>
        <w:t>Space Situational Awareness 2013 Conference</w:t>
      </w:r>
    </w:p>
    <w:p w:rsidR="00D67E8B" w:rsidRPr="000F6008" w:rsidRDefault="00D67E8B" w:rsidP="00D67E8B">
      <w:pPr>
        <w:jc w:val="center"/>
        <w:rPr>
          <w:sz w:val="20"/>
          <w:szCs w:val="20"/>
        </w:rPr>
      </w:pPr>
      <w:r w:rsidRPr="000F6008">
        <w:rPr>
          <w:sz w:val="20"/>
          <w:szCs w:val="20"/>
        </w:rPr>
        <w:t>13-14 November 2013-11-29</w:t>
      </w:r>
    </w:p>
    <w:p w:rsidR="00D67E8B" w:rsidRPr="00D67E8B" w:rsidRDefault="00D67E8B" w:rsidP="00D67E8B">
      <w:pPr>
        <w:jc w:val="center"/>
        <w:rPr>
          <w:sz w:val="20"/>
          <w:szCs w:val="20"/>
        </w:rPr>
      </w:pPr>
      <w:r w:rsidRPr="000F6008">
        <w:rPr>
          <w:sz w:val="20"/>
          <w:szCs w:val="20"/>
        </w:rPr>
        <w:t xml:space="preserve"> London</w:t>
      </w:r>
    </w:p>
    <w:p w:rsidR="00D67E8B" w:rsidRPr="00BB6251" w:rsidRDefault="00D67E8B" w:rsidP="00D67E8B">
      <w:pPr>
        <w:ind w:left="426" w:hanging="426"/>
        <w:jc w:val="both"/>
        <w:rPr>
          <w:sz w:val="24"/>
        </w:rPr>
      </w:pPr>
    </w:p>
    <w:p w:rsidR="00D67E8B" w:rsidRPr="00BB6251" w:rsidRDefault="00D67E8B" w:rsidP="00D67E8B">
      <w:pPr>
        <w:ind w:left="426" w:hanging="426"/>
        <w:jc w:val="both"/>
        <w:rPr>
          <w:sz w:val="24"/>
        </w:rPr>
      </w:pPr>
      <w:r w:rsidRPr="00BB6251">
        <w:rPr>
          <w:sz w:val="24"/>
        </w:rPr>
        <w:t>1.</w:t>
      </w:r>
      <w:r w:rsidRPr="00BB6251">
        <w:rPr>
          <w:sz w:val="24"/>
        </w:rPr>
        <w:tab/>
      </w:r>
      <w:r w:rsidRPr="00BB6251">
        <w:rPr>
          <w:i/>
          <w:sz w:val="24"/>
        </w:rPr>
        <w:t>Introduction</w:t>
      </w:r>
    </w:p>
    <w:p w:rsidR="00D67E8B" w:rsidRPr="00BB6251" w:rsidRDefault="00D67E8B" w:rsidP="00D67E8B">
      <w:pPr>
        <w:ind w:left="426" w:hanging="426"/>
        <w:jc w:val="both"/>
        <w:rPr>
          <w:sz w:val="24"/>
        </w:rPr>
      </w:pPr>
    </w:p>
    <w:p w:rsidR="00D67E8B" w:rsidRPr="00BB6251" w:rsidRDefault="00D67E8B" w:rsidP="00D67E8B">
      <w:pPr>
        <w:widowControl w:val="0"/>
        <w:autoSpaceDE w:val="0"/>
        <w:autoSpaceDN w:val="0"/>
        <w:adjustRightInd w:val="0"/>
        <w:spacing w:after="240"/>
        <w:ind w:left="426" w:hanging="426"/>
        <w:jc w:val="both"/>
        <w:rPr>
          <w:rFonts w:cs="Arial"/>
          <w:sz w:val="24"/>
          <w:lang w:eastAsia="ja-JP"/>
        </w:rPr>
      </w:pPr>
      <w:r w:rsidRPr="00BB6251">
        <w:rPr>
          <w:sz w:val="24"/>
        </w:rPr>
        <w:tab/>
      </w:r>
      <w:r w:rsidRPr="00BB6251">
        <w:rPr>
          <w:rFonts w:cs="Arial"/>
          <w:sz w:val="24"/>
          <w:lang w:eastAsia="ja-JP"/>
        </w:rPr>
        <w:t xml:space="preserve">The overall objective of space situational awareness (SSA) is to </w:t>
      </w:r>
      <w:r>
        <w:rPr>
          <w:rFonts w:cs="Arial"/>
          <w:sz w:val="24"/>
          <w:lang w:eastAsia="ja-JP"/>
        </w:rPr>
        <w:t>identify</w:t>
      </w:r>
      <w:r w:rsidRPr="00BB6251">
        <w:rPr>
          <w:rFonts w:cs="Arial"/>
          <w:sz w:val="24"/>
          <w:lang w:eastAsia="ja-JP"/>
        </w:rPr>
        <w:t xml:space="preserve"> the location of every object orbiting the Earth, why it is there, what it is doing, and </w:t>
      </w:r>
      <w:r>
        <w:rPr>
          <w:rFonts w:cs="Arial"/>
          <w:sz w:val="24"/>
          <w:lang w:eastAsia="ja-JP"/>
        </w:rPr>
        <w:t xml:space="preserve">to </w:t>
      </w:r>
      <w:r w:rsidRPr="00BB6251">
        <w:rPr>
          <w:rFonts w:cs="Arial"/>
          <w:sz w:val="24"/>
          <w:lang w:eastAsia="ja-JP"/>
        </w:rPr>
        <w:t>predict what it will be doing in the future. I</w:t>
      </w:r>
      <w:r>
        <w:rPr>
          <w:rFonts w:cs="Arial"/>
          <w:sz w:val="24"/>
          <w:lang w:eastAsia="ja-JP"/>
        </w:rPr>
        <w:t xml:space="preserve">ts aim is </w:t>
      </w:r>
      <w:r w:rsidRPr="00BB6251">
        <w:rPr>
          <w:rFonts w:cs="Arial"/>
          <w:sz w:val="24"/>
          <w:lang w:eastAsia="ja-JP"/>
        </w:rPr>
        <w:t>to track and understand what exactly is in orbit from either space or from the ground.</w:t>
      </w:r>
      <w:r w:rsidRPr="00BB6251">
        <w:rPr>
          <w:rStyle w:val="FootnoteReference"/>
          <w:rFonts w:cs="Arial"/>
          <w:sz w:val="24"/>
          <w:lang w:eastAsia="ja-JP"/>
        </w:rPr>
        <w:footnoteReference w:id="1"/>
      </w:r>
      <w:r>
        <w:rPr>
          <w:rFonts w:cs="Arial"/>
          <w:sz w:val="24"/>
          <w:lang w:eastAsia="ja-JP"/>
        </w:rPr>
        <w:t xml:space="preserve">  </w:t>
      </w:r>
      <w:r w:rsidRPr="00BB6251">
        <w:rPr>
          <w:rFonts w:cs="Arial"/>
          <w:sz w:val="24"/>
          <w:lang w:eastAsia="ja-JP"/>
        </w:rPr>
        <w:t xml:space="preserve">This knowledge enables the </w:t>
      </w:r>
      <w:r>
        <w:rPr>
          <w:rFonts w:cs="Arial"/>
          <w:sz w:val="24"/>
          <w:lang w:eastAsia="ja-JP"/>
        </w:rPr>
        <w:t>management of</w:t>
      </w:r>
      <w:r w:rsidRPr="00BB6251">
        <w:rPr>
          <w:rFonts w:cs="Arial"/>
          <w:sz w:val="24"/>
          <w:lang w:eastAsia="ja-JP"/>
        </w:rPr>
        <w:t xml:space="preserve"> space assets and </w:t>
      </w:r>
      <w:r>
        <w:rPr>
          <w:rFonts w:cs="Arial"/>
          <w:sz w:val="24"/>
          <w:lang w:eastAsia="ja-JP"/>
        </w:rPr>
        <w:t xml:space="preserve">the </w:t>
      </w:r>
      <w:r w:rsidRPr="00BB6251">
        <w:rPr>
          <w:rFonts w:cs="Arial"/>
          <w:sz w:val="24"/>
          <w:lang w:eastAsia="ja-JP"/>
        </w:rPr>
        <w:t xml:space="preserve">exercise </w:t>
      </w:r>
      <w:r>
        <w:rPr>
          <w:rFonts w:cs="Arial"/>
          <w:sz w:val="24"/>
          <w:lang w:eastAsia="ja-JP"/>
        </w:rPr>
        <w:t xml:space="preserve">of </w:t>
      </w:r>
      <w:r w:rsidRPr="00BB6251">
        <w:rPr>
          <w:rFonts w:cs="Arial"/>
          <w:sz w:val="24"/>
          <w:lang w:eastAsia="ja-JP"/>
        </w:rPr>
        <w:t xml:space="preserve">a level of control over the space environment. </w:t>
      </w:r>
    </w:p>
    <w:p w:rsidR="00D67E8B" w:rsidRPr="00BB6251" w:rsidRDefault="00D67E8B" w:rsidP="00D67E8B">
      <w:pPr>
        <w:widowControl w:val="0"/>
        <w:autoSpaceDE w:val="0"/>
        <w:autoSpaceDN w:val="0"/>
        <w:adjustRightInd w:val="0"/>
        <w:spacing w:after="240"/>
        <w:ind w:left="426" w:hanging="426"/>
        <w:jc w:val="both"/>
        <w:rPr>
          <w:rFonts w:cs="Arial"/>
          <w:sz w:val="24"/>
          <w:lang w:eastAsia="ja-JP"/>
        </w:rPr>
      </w:pPr>
      <w:r w:rsidRPr="00BB6251">
        <w:rPr>
          <w:rFonts w:cs="Arial"/>
          <w:sz w:val="24"/>
          <w:lang w:eastAsia="ja-JP"/>
        </w:rPr>
        <w:tab/>
        <w:t xml:space="preserve">SSA </w:t>
      </w:r>
      <w:r>
        <w:rPr>
          <w:rFonts w:cs="Arial"/>
          <w:sz w:val="24"/>
          <w:lang w:eastAsia="ja-JP"/>
        </w:rPr>
        <w:t>enables the</w:t>
      </w:r>
      <w:r w:rsidRPr="00BB6251">
        <w:rPr>
          <w:rFonts w:cs="Arial"/>
          <w:sz w:val="24"/>
          <w:lang w:eastAsia="ja-JP"/>
        </w:rPr>
        <w:t xml:space="preserve"> achieve</w:t>
      </w:r>
      <w:r>
        <w:rPr>
          <w:rFonts w:cs="Arial"/>
          <w:sz w:val="24"/>
          <w:lang w:eastAsia="ja-JP"/>
        </w:rPr>
        <w:t>ment of</w:t>
      </w:r>
      <w:r w:rsidRPr="00BB6251">
        <w:rPr>
          <w:rFonts w:cs="Arial"/>
          <w:sz w:val="24"/>
          <w:lang w:eastAsia="ja-JP"/>
        </w:rPr>
        <w:t xml:space="preserve"> both civilian and military objectives. A number of systems and arrangements have been established to provide SSA for different applications. Some of the information is generally available and some not.</w:t>
      </w:r>
      <w:r>
        <w:rPr>
          <w:rFonts w:cs="Arial"/>
          <w:sz w:val="24"/>
          <w:lang w:eastAsia="ja-JP"/>
        </w:rPr>
        <w:t xml:space="preserve"> </w:t>
      </w:r>
      <w:r w:rsidRPr="00BB6251">
        <w:rPr>
          <w:rFonts w:cs="Arial"/>
          <w:sz w:val="24"/>
          <w:lang w:eastAsia="ja-JP"/>
        </w:rPr>
        <w:t>This paper examines some of these, considering the need for SSA, operating and proposed solutions and political, legal and economic consequences of its availability.</w:t>
      </w:r>
    </w:p>
    <w:p w:rsidR="00D67E8B" w:rsidRPr="00BB6251" w:rsidRDefault="00D67E8B" w:rsidP="00D67E8B">
      <w:pPr>
        <w:ind w:left="426" w:hanging="426"/>
        <w:jc w:val="both"/>
        <w:rPr>
          <w:sz w:val="24"/>
        </w:rPr>
      </w:pPr>
      <w:r w:rsidRPr="00BB6251">
        <w:rPr>
          <w:sz w:val="24"/>
        </w:rPr>
        <w:t>2.</w:t>
      </w:r>
      <w:r w:rsidRPr="00BB6251">
        <w:rPr>
          <w:sz w:val="24"/>
        </w:rPr>
        <w:tab/>
      </w:r>
      <w:r w:rsidRPr="00BB6251">
        <w:rPr>
          <w:i/>
          <w:sz w:val="24"/>
        </w:rPr>
        <w:t>The Problem</w:t>
      </w:r>
    </w:p>
    <w:p w:rsidR="00D67E8B" w:rsidRPr="00BB6251" w:rsidRDefault="00D67E8B" w:rsidP="00D67E8B">
      <w:pPr>
        <w:ind w:left="426" w:hanging="426"/>
        <w:jc w:val="both"/>
        <w:rPr>
          <w:sz w:val="24"/>
        </w:rPr>
      </w:pPr>
    </w:p>
    <w:p w:rsidR="00D67E8B" w:rsidRPr="00BB6251" w:rsidRDefault="00D67E8B" w:rsidP="00D67E8B">
      <w:pPr>
        <w:ind w:left="426" w:hanging="426"/>
        <w:jc w:val="both"/>
        <w:rPr>
          <w:sz w:val="24"/>
        </w:rPr>
      </w:pPr>
      <w:r w:rsidRPr="00BB6251">
        <w:rPr>
          <w:sz w:val="24"/>
        </w:rPr>
        <w:tab/>
        <w:t>The increasing orbital population, particularly in LEO, is creating physical and frequency spectrum congestion. The latter is particularly important, as damage to the space frequency spectrum can render all space systems unusable</w:t>
      </w:r>
      <w:r>
        <w:rPr>
          <w:sz w:val="24"/>
        </w:rPr>
        <w:t>.</w:t>
      </w:r>
      <w:r w:rsidRPr="00BB6251">
        <w:rPr>
          <w:rStyle w:val="FootnoteReference"/>
          <w:sz w:val="24"/>
        </w:rPr>
        <w:footnoteReference w:id="2"/>
      </w:r>
    </w:p>
    <w:p w:rsidR="00D67E8B" w:rsidRPr="00BB6251" w:rsidRDefault="00D67E8B" w:rsidP="00D67E8B">
      <w:pPr>
        <w:ind w:left="426" w:hanging="426"/>
        <w:jc w:val="both"/>
        <w:rPr>
          <w:sz w:val="24"/>
        </w:rPr>
      </w:pPr>
    </w:p>
    <w:p w:rsidR="00D67E8B" w:rsidRPr="00BB6251" w:rsidRDefault="00D67E8B" w:rsidP="00D67E8B">
      <w:pPr>
        <w:ind w:left="426" w:hanging="426"/>
        <w:jc w:val="both"/>
        <w:rPr>
          <w:sz w:val="24"/>
        </w:rPr>
      </w:pPr>
      <w:r w:rsidRPr="00BB6251">
        <w:rPr>
          <w:sz w:val="24"/>
        </w:rPr>
        <w:tab/>
        <w:t>Orbital debris has reached a level at which active steps need to be taken to stabilise and render the most useful orbits sustainable. Current estimates of the population according to diameter size in Low Earth Orbit, LEO, are:</w:t>
      </w:r>
    </w:p>
    <w:p w:rsidR="00D67E8B" w:rsidRPr="00BB6251" w:rsidRDefault="00D67E8B" w:rsidP="00D67E8B">
      <w:pPr>
        <w:ind w:left="426" w:hanging="426"/>
        <w:jc w:val="both"/>
        <w:rPr>
          <w:sz w:val="24"/>
        </w:rPr>
      </w:pPr>
    </w:p>
    <w:p w:rsidR="00D67E8B" w:rsidRPr="00BB6251" w:rsidRDefault="00D67E8B" w:rsidP="00D67E8B">
      <w:pPr>
        <w:ind w:left="709" w:hanging="283"/>
        <w:jc w:val="both"/>
        <w:rPr>
          <w:sz w:val="24"/>
        </w:rPr>
      </w:pPr>
      <w:r>
        <w:rPr>
          <w:sz w:val="24"/>
        </w:rPr>
        <w:tab/>
      </w:r>
      <w:r w:rsidRPr="00BB6251">
        <w:rPr>
          <w:sz w:val="24"/>
        </w:rPr>
        <w:tab/>
      </w:r>
      <w:r>
        <w:rPr>
          <w:sz w:val="24"/>
        </w:rPr>
        <w:t xml:space="preserve">    </w:t>
      </w:r>
      <w:r w:rsidRPr="00BB6251">
        <w:rPr>
          <w:sz w:val="24"/>
        </w:rPr>
        <w:t>Size</w:t>
      </w:r>
      <w:r w:rsidRPr="00BB6251">
        <w:rPr>
          <w:sz w:val="24"/>
        </w:rPr>
        <w:tab/>
      </w:r>
      <w:r w:rsidRPr="00BB6251">
        <w:rPr>
          <w:sz w:val="24"/>
        </w:rPr>
        <w:tab/>
      </w:r>
      <w:r>
        <w:rPr>
          <w:sz w:val="24"/>
        </w:rPr>
        <w:tab/>
      </w:r>
      <w:r w:rsidRPr="00BB6251">
        <w:rPr>
          <w:sz w:val="24"/>
        </w:rPr>
        <w:t>Number</w:t>
      </w:r>
      <w:r w:rsidRPr="00BB6251">
        <w:rPr>
          <w:sz w:val="24"/>
        </w:rPr>
        <w:tab/>
      </w:r>
      <w:r w:rsidRPr="00BB6251">
        <w:rPr>
          <w:sz w:val="24"/>
        </w:rPr>
        <w:tab/>
      </w:r>
      <w:r w:rsidRPr="00BB6251">
        <w:rPr>
          <w:sz w:val="24"/>
        </w:rPr>
        <w:tab/>
      </w:r>
      <w:r w:rsidRPr="00BB6251">
        <w:rPr>
          <w:sz w:val="24"/>
        </w:rPr>
        <w:tab/>
        <w:t>Mass in Tons (%)</w:t>
      </w:r>
    </w:p>
    <w:p w:rsidR="00D67E8B" w:rsidRPr="00BB6251" w:rsidRDefault="00D67E8B" w:rsidP="00D67E8B">
      <w:pPr>
        <w:ind w:left="852" w:hanging="426"/>
        <w:jc w:val="both"/>
        <w:rPr>
          <w:sz w:val="24"/>
        </w:rPr>
      </w:pPr>
    </w:p>
    <w:p w:rsidR="00D67E8B" w:rsidRPr="00BB6251" w:rsidRDefault="00D67E8B" w:rsidP="00D67E8B">
      <w:pPr>
        <w:ind w:left="852" w:hanging="426"/>
        <w:jc w:val="both"/>
        <w:rPr>
          <w:sz w:val="24"/>
        </w:rPr>
      </w:pPr>
      <w:r w:rsidRPr="00BB6251">
        <w:rPr>
          <w:sz w:val="24"/>
        </w:rPr>
        <w:tab/>
        <w:t>&gt; 10 cm</w:t>
      </w:r>
      <w:r w:rsidRPr="00BB6251">
        <w:rPr>
          <w:sz w:val="24"/>
        </w:rPr>
        <w:tab/>
      </w:r>
      <w:r w:rsidRPr="00BB6251">
        <w:rPr>
          <w:sz w:val="24"/>
        </w:rPr>
        <w:tab/>
        <w:t>20,000</w:t>
      </w:r>
      <w:r>
        <w:rPr>
          <w:rStyle w:val="FootnoteReference"/>
          <w:sz w:val="24"/>
        </w:rPr>
        <w:footnoteReference w:id="3"/>
      </w:r>
      <w:r>
        <w:rPr>
          <w:sz w:val="24"/>
        </w:rPr>
        <w:t xml:space="preserve">  </w:t>
      </w:r>
      <w:r w:rsidRPr="00BB6251">
        <w:rPr>
          <w:sz w:val="24"/>
        </w:rPr>
        <w:t>(&lt;10% operational)</w:t>
      </w:r>
      <w:r w:rsidRPr="00BB6251">
        <w:rPr>
          <w:sz w:val="24"/>
        </w:rPr>
        <w:tab/>
      </w:r>
      <w:r w:rsidRPr="00BB6251">
        <w:rPr>
          <w:sz w:val="24"/>
        </w:rPr>
        <w:tab/>
        <w:t>6,995</w:t>
      </w:r>
      <w:r w:rsidRPr="00BB6251">
        <w:rPr>
          <w:sz w:val="24"/>
        </w:rPr>
        <w:tab/>
        <w:t>(99.93%)</w:t>
      </w:r>
    </w:p>
    <w:p w:rsidR="00D67E8B" w:rsidRPr="00BB6251" w:rsidRDefault="00D67E8B" w:rsidP="00D67E8B">
      <w:pPr>
        <w:ind w:left="852" w:hanging="426"/>
        <w:jc w:val="both"/>
        <w:rPr>
          <w:sz w:val="24"/>
        </w:rPr>
      </w:pPr>
    </w:p>
    <w:p w:rsidR="00D67E8B" w:rsidRPr="00BB6251" w:rsidRDefault="00D67E8B" w:rsidP="00D67E8B">
      <w:pPr>
        <w:ind w:left="852" w:hanging="426"/>
        <w:jc w:val="both"/>
        <w:rPr>
          <w:sz w:val="24"/>
        </w:rPr>
      </w:pPr>
      <w:r w:rsidRPr="00BB6251">
        <w:rPr>
          <w:sz w:val="24"/>
        </w:rPr>
        <w:tab/>
        <w:t>&gt; 1 cm</w:t>
      </w:r>
      <w:r w:rsidRPr="00BB6251">
        <w:rPr>
          <w:sz w:val="24"/>
        </w:rPr>
        <w:tab/>
      </w:r>
      <w:r w:rsidRPr="00BB6251">
        <w:rPr>
          <w:sz w:val="24"/>
        </w:rPr>
        <w:tab/>
        <w:t>500,000</w:t>
      </w:r>
      <w:r w:rsidRPr="00BB6251">
        <w:rPr>
          <w:sz w:val="24"/>
        </w:rPr>
        <w:tab/>
      </w:r>
      <w:r w:rsidRPr="00BB6251">
        <w:rPr>
          <w:sz w:val="24"/>
        </w:rPr>
        <w:tab/>
      </w:r>
      <w:r w:rsidRPr="00BB6251">
        <w:rPr>
          <w:sz w:val="24"/>
        </w:rPr>
        <w:tab/>
      </w:r>
      <w:r w:rsidRPr="00BB6251">
        <w:rPr>
          <w:sz w:val="24"/>
        </w:rPr>
        <w:tab/>
        <w:t>2.5</w:t>
      </w:r>
      <w:r w:rsidRPr="00BB6251">
        <w:rPr>
          <w:sz w:val="24"/>
        </w:rPr>
        <w:tab/>
        <w:t>(0.035%)</w:t>
      </w:r>
    </w:p>
    <w:p w:rsidR="00D67E8B" w:rsidRPr="00BB6251" w:rsidRDefault="00D67E8B" w:rsidP="00D67E8B">
      <w:pPr>
        <w:ind w:left="852" w:hanging="426"/>
        <w:jc w:val="both"/>
        <w:rPr>
          <w:sz w:val="24"/>
        </w:rPr>
      </w:pPr>
    </w:p>
    <w:p w:rsidR="00D67E8B" w:rsidRPr="00BB6251" w:rsidRDefault="00D67E8B" w:rsidP="00D67E8B">
      <w:pPr>
        <w:ind w:left="852" w:hanging="426"/>
        <w:jc w:val="both"/>
        <w:rPr>
          <w:sz w:val="24"/>
        </w:rPr>
      </w:pPr>
      <w:r w:rsidRPr="00BB6251">
        <w:rPr>
          <w:sz w:val="24"/>
        </w:rPr>
        <w:tab/>
        <w:t>&lt;1 cm</w:t>
      </w:r>
      <w:r w:rsidRPr="00BB6251">
        <w:rPr>
          <w:sz w:val="24"/>
        </w:rPr>
        <w:tab/>
      </w:r>
      <w:r w:rsidRPr="00BB6251">
        <w:rPr>
          <w:sz w:val="24"/>
        </w:rPr>
        <w:tab/>
        <w:t>50,000,000</w:t>
      </w:r>
      <w:r w:rsidRPr="00BB6251">
        <w:rPr>
          <w:sz w:val="24"/>
        </w:rPr>
        <w:tab/>
      </w:r>
      <w:r w:rsidRPr="00BB6251">
        <w:rPr>
          <w:sz w:val="24"/>
        </w:rPr>
        <w:tab/>
      </w:r>
      <w:r w:rsidRPr="00BB6251">
        <w:rPr>
          <w:sz w:val="24"/>
        </w:rPr>
        <w:tab/>
      </w:r>
      <w:r w:rsidRPr="00BB6251">
        <w:rPr>
          <w:sz w:val="24"/>
        </w:rPr>
        <w:tab/>
        <w:t>2.5</w:t>
      </w:r>
      <w:r w:rsidRPr="00BB6251">
        <w:rPr>
          <w:sz w:val="24"/>
        </w:rPr>
        <w:tab/>
        <w:t>(0.035%)</w:t>
      </w:r>
    </w:p>
    <w:p w:rsidR="00D67E8B" w:rsidRPr="00BB6251" w:rsidRDefault="00D67E8B" w:rsidP="00D67E8B">
      <w:pPr>
        <w:ind w:left="426" w:hanging="426"/>
        <w:jc w:val="both"/>
        <w:rPr>
          <w:sz w:val="24"/>
        </w:rPr>
      </w:pPr>
    </w:p>
    <w:p w:rsidR="00D67E8B" w:rsidRPr="00BB6251" w:rsidRDefault="00D67E8B" w:rsidP="00D67E8B">
      <w:pPr>
        <w:ind w:left="426" w:hanging="426"/>
        <w:jc w:val="both"/>
        <w:rPr>
          <w:sz w:val="24"/>
        </w:rPr>
      </w:pPr>
      <w:r w:rsidRPr="00BB6251">
        <w:rPr>
          <w:sz w:val="24"/>
        </w:rPr>
        <w:tab/>
        <w:t xml:space="preserve">In approximate terms, man made objects in LEO number 50,000,000, weighing 7,000 tonnes, of which less than 2,000 </w:t>
      </w:r>
      <w:r>
        <w:rPr>
          <w:sz w:val="24"/>
        </w:rPr>
        <w:t xml:space="preserve">objects </w:t>
      </w:r>
      <w:r w:rsidRPr="00BB6251">
        <w:rPr>
          <w:sz w:val="24"/>
        </w:rPr>
        <w:t>are operational</w:t>
      </w:r>
      <w:r>
        <w:rPr>
          <w:sz w:val="24"/>
        </w:rPr>
        <w:t>ly</w:t>
      </w:r>
      <w:r w:rsidRPr="00BB6251">
        <w:rPr>
          <w:sz w:val="24"/>
        </w:rPr>
        <w:t xml:space="preserve"> functioning.</w:t>
      </w:r>
    </w:p>
    <w:p w:rsidR="00D67E8B" w:rsidRPr="00BB6251" w:rsidRDefault="00D67E8B" w:rsidP="00D67E8B">
      <w:pPr>
        <w:ind w:left="426" w:hanging="426"/>
        <w:jc w:val="both"/>
        <w:rPr>
          <w:sz w:val="24"/>
        </w:rPr>
      </w:pPr>
    </w:p>
    <w:p w:rsidR="00D67E8B" w:rsidRPr="00316BFC" w:rsidRDefault="00D67E8B" w:rsidP="00D67E8B">
      <w:pPr>
        <w:widowControl w:val="0"/>
        <w:autoSpaceDE w:val="0"/>
        <w:autoSpaceDN w:val="0"/>
        <w:adjustRightInd w:val="0"/>
        <w:spacing w:after="240"/>
        <w:ind w:left="426" w:hanging="426"/>
        <w:jc w:val="both"/>
        <w:rPr>
          <w:rFonts w:cs="Times"/>
          <w:sz w:val="24"/>
          <w:lang w:eastAsia="ja-JP"/>
        </w:rPr>
      </w:pPr>
      <w:r w:rsidRPr="00BB6251">
        <w:rPr>
          <w:rFonts w:cs="Arial"/>
          <w:color w:val="343434"/>
          <w:sz w:val="24"/>
          <w:lang w:eastAsia="ja-JP"/>
        </w:rPr>
        <w:tab/>
        <w:t>According to the European Commission (EC)</w:t>
      </w:r>
      <w:r>
        <w:rPr>
          <w:rFonts w:cs="Arial"/>
          <w:color w:val="343434"/>
          <w:sz w:val="24"/>
          <w:lang w:eastAsia="ja-JP"/>
        </w:rPr>
        <w:t>,</w:t>
      </w:r>
      <w:r w:rsidRPr="00BB6251">
        <w:rPr>
          <w:rFonts w:cs="Arial"/>
          <w:color w:val="343434"/>
          <w:sz w:val="24"/>
          <w:lang w:eastAsia="ja-JP"/>
        </w:rPr>
        <w:t xml:space="preserve"> annual losses due to collision and collision-avoidance man</w:t>
      </w:r>
      <w:r>
        <w:rPr>
          <w:rFonts w:cs="Arial"/>
          <w:color w:val="343434"/>
          <w:sz w:val="24"/>
          <w:lang w:eastAsia="ja-JP"/>
        </w:rPr>
        <w:t>oeuv</w:t>
      </w:r>
      <w:r w:rsidRPr="00BB6251">
        <w:rPr>
          <w:rFonts w:cs="Arial"/>
          <w:color w:val="343434"/>
          <w:sz w:val="24"/>
          <w:lang w:eastAsia="ja-JP"/>
        </w:rPr>
        <w:t>r</w:t>
      </w:r>
      <w:r>
        <w:rPr>
          <w:rFonts w:cs="Arial"/>
          <w:color w:val="343434"/>
          <w:sz w:val="24"/>
          <w:lang w:eastAsia="ja-JP"/>
        </w:rPr>
        <w:t>e</w:t>
      </w:r>
      <w:r w:rsidRPr="00BB6251">
        <w:rPr>
          <w:rFonts w:cs="Arial"/>
          <w:color w:val="343434"/>
          <w:sz w:val="24"/>
          <w:lang w:eastAsia="ja-JP"/>
        </w:rPr>
        <w:t>s total €140 million ($185 million), a figure expected to grow by 50% over the next decade as more satellites are launched into space.</w:t>
      </w:r>
      <w:r w:rsidRPr="00BB6251">
        <w:rPr>
          <w:rStyle w:val="FootnoteReference"/>
          <w:rFonts w:cs="Arial"/>
          <w:color w:val="343434"/>
          <w:sz w:val="24"/>
          <w:lang w:eastAsia="ja-JP"/>
        </w:rPr>
        <w:footnoteReference w:id="4"/>
      </w:r>
    </w:p>
    <w:p w:rsidR="00D67E8B" w:rsidRPr="00BB6251" w:rsidRDefault="00D67E8B" w:rsidP="00D67E8B">
      <w:pPr>
        <w:ind w:left="426" w:hanging="426"/>
        <w:jc w:val="both"/>
        <w:rPr>
          <w:sz w:val="24"/>
        </w:rPr>
      </w:pPr>
      <w:r w:rsidRPr="00BB6251">
        <w:rPr>
          <w:sz w:val="24"/>
        </w:rPr>
        <w:t>3.</w:t>
      </w:r>
      <w:r w:rsidRPr="00BB6251">
        <w:rPr>
          <w:sz w:val="24"/>
        </w:rPr>
        <w:tab/>
      </w:r>
      <w:r w:rsidRPr="00BB6251">
        <w:rPr>
          <w:i/>
          <w:sz w:val="24"/>
        </w:rPr>
        <w:t>The Need for SSA</w:t>
      </w:r>
    </w:p>
    <w:p w:rsidR="00D67E8B" w:rsidRPr="00BB6251" w:rsidRDefault="00D67E8B" w:rsidP="00D67E8B">
      <w:pPr>
        <w:ind w:left="426" w:hanging="426"/>
        <w:jc w:val="both"/>
        <w:rPr>
          <w:sz w:val="24"/>
        </w:rPr>
      </w:pPr>
    </w:p>
    <w:p w:rsidR="00D67E8B" w:rsidRPr="00BB6251" w:rsidRDefault="00D67E8B" w:rsidP="00D67E8B">
      <w:pPr>
        <w:ind w:left="426" w:hanging="426"/>
        <w:jc w:val="both"/>
        <w:rPr>
          <w:sz w:val="24"/>
        </w:rPr>
      </w:pPr>
      <w:r w:rsidRPr="00BB6251">
        <w:rPr>
          <w:sz w:val="24"/>
        </w:rPr>
        <w:tab/>
        <w:t>Apart from the direct cost of debris avoidance and collision risks, there is growing reliance on space for many uses, as discussed below. If man is to continue using space capabilities, there is a</w:t>
      </w:r>
      <w:r>
        <w:rPr>
          <w:sz w:val="24"/>
        </w:rPr>
        <w:t>n</w:t>
      </w:r>
      <w:r w:rsidRPr="00BB6251">
        <w:rPr>
          <w:sz w:val="24"/>
        </w:rPr>
        <w:t xml:space="preserve"> urgent need to sustain the space environment. A first step in doing so is to understand the risks and devise appropriate measures to overcome and reduce them. These risks include natural hazards of space weather and asteroids.</w:t>
      </w:r>
    </w:p>
    <w:p w:rsidR="00D67E8B" w:rsidRPr="00BB6251" w:rsidRDefault="00D67E8B" w:rsidP="00D67E8B">
      <w:pPr>
        <w:ind w:left="426" w:hanging="426"/>
        <w:jc w:val="both"/>
        <w:rPr>
          <w:sz w:val="24"/>
        </w:rPr>
      </w:pPr>
    </w:p>
    <w:p w:rsidR="00D67E8B" w:rsidRPr="00BB6251" w:rsidRDefault="00D67E8B" w:rsidP="00D67E8B">
      <w:pPr>
        <w:ind w:left="426" w:hanging="426"/>
        <w:jc w:val="both"/>
        <w:rPr>
          <w:sz w:val="24"/>
        </w:rPr>
      </w:pPr>
      <w:r w:rsidRPr="00BB6251">
        <w:rPr>
          <w:sz w:val="24"/>
        </w:rPr>
        <w:tab/>
        <w:t>SSA is critical to deciding on the measures to be taken and to assessing the effectiveness of any solution.</w:t>
      </w:r>
    </w:p>
    <w:p w:rsidR="00D67E8B" w:rsidRPr="00BB6251" w:rsidRDefault="00D67E8B" w:rsidP="00D67E8B">
      <w:pPr>
        <w:ind w:left="426" w:hanging="426"/>
        <w:jc w:val="both"/>
        <w:rPr>
          <w:sz w:val="24"/>
        </w:rPr>
      </w:pPr>
    </w:p>
    <w:p w:rsidR="00D67E8B" w:rsidRPr="00BB6251" w:rsidRDefault="00D67E8B" w:rsidP="00D67E8B">
      <w:pPr>
        <w:ind w:left="426" w:hanging="426"/>
        <w:jc w:val="both"/>
        <w:rPr>
          <w:sz w:val="24"/>
        </w:rPr>
      </w:pPr>
      <w:r w:rsidRPr="00BB6251">
        <w:rPr>
          <w:sz w:val="24"/>
        </w:rPr>
        <w:tab/>
        <w:t xml:space="preserve">Space capabilities facilitate many of the activities conducted on Earth and are an important part of securing physical, social and economic wellbeing of nations and communities. It has been observed that space is becoming </w:t>
      </w:r>
      <w:r w:rsidRPr="00BB6251">
        <w:rPr>
          <w:i/>
          <w:sz w:val="24"/>
        </w:rPr>
        <w:t>Congested</w:t>
      </w:r>
      <w:r w:rsidRPr="00BB6251">
        <w:rPr>
          <w:sz w:val="24"/>
        </w:rPr>
        <w:t xml:space="preserve">, </w:t>
      </w:r>
      <w:r w:rsidRPr="00BB6251">
        <w:rPr>
          <w:i/>
          <w:sz w:val="24"/>
        </w:rPr>
        <w:t>Contested</w:t>
      </w:r>
      <w:r w:rsidRPr="00BB6251">
        <w:rPr>
          <w:sz w:val="24"/>
        </w:rPr>
        <w:t xml:space="preserve"> and </w:t>
      </w:r>
      <w:r w:rsidRPr="00BB6251">
        <w:rPr>
          <w:i/>
          <w:sz w:val="24"/>
        </w:rPr>
        <w:t>Competed</w:t>
      </w:r>
      <w:r w:rsidRPr="00BB6251">
        <w:rPr>
          <w:sz w:val="24"/>
        </w:rPr>
        <w:t>.</w:t>
      </w:r>
      <w:r w:rsidRPr="00BB6251">
        <w:rPr>
          <w:rStyle w:val="FootnoteReference"/>
          <w:sz w:val="24"/>
        </w:rPr>
        <w:footnoteReference w:id="5"/>
      </w:r>
    </w:p>
    <w:p w:rsidR="00D67E8B" w:rsidRPr="00BB6251" w:rsidRDefault="00D67E8B" w:rsidP="00D67E8B">
      <w:pPr>
        <w:ind w:left="426" w:hanging="426"/>
        <w:jc w:val="both"/>
        <w:rPr>
          <w:sz w:val="24"/>
        </w:rPr>
      </w:pPr>
    </w:p>
    <w:p w:rsidR="00D67E8B" w:rsidRPr="00BB6251" w:rsidRDefault="00D67E8B" w:rsidP="00D67E8B">
      <w:pPr>
        <w:ind w:left="426" w:hanging="426"/>
        <w:jc w:val="both"/>
        <w:rPr>
          <w:sz w:val="24"/>
        </w:rPr>
      </w:pPr>
      <w:r w:rsidRPr="00BB6251">
        <w:rPr>
          <w:sz w:val="24"/>
        </w:rPr>
        <w:tab/>
        <w:t>The radiofrequency spectrum for space systems is also becoming increasingly congested. Demand for radiofrequency spectrum to support worldwide satellite services is expected to grow commensurate with the rapid expansion of satellite services and applications. By 2015 as many as 9,000 satellite communications transponders are expected to be in orbit. As the demand for bandwidth increases and more transponders are placed in service, the greater the probability of radiofrequency interference and the strain on international processes to minimize that interference.</w:t>
      </w:r>
      <w:r w:rsidRPr="00BB6251">
        <w:rPr>
          <w:rStyle w:val="FootnoteReference"/>
          <w:sz w:val="24"/>
        </w:rPr>
        <w:footnoteReference w:id="6"/>
      </w:r>
    </w:p>
    <w:p w:rsidR="00D67E8B" w:rsidRPr="00BB6251" w:rsidRDefault="00D67E8B" w:rsidP="00D67E8B">
      <w:pPr>
        <w:ind w:left="426" w:hanging="426"/>
        <w:jc w:val="both"/>
        <w:rPr>
          <w:sz w:val="24"/>
        </w:rPr>
      </w:pPr>
    </w:p>
    <w:p w:rsidR="00D67E8B" w:rsidRPr="00BB6251" w:rsidRDefault="00D67E8B" w:rsidP="00D67E8B">
      <w:pPr>
        <w:ind w:left="426" w:hanging="426"/>
        <w:jc w:val="both"/>
        <w:rPr>
          <w:sz w:val="24"/>
        </w:rPr>
      </w:pPr>
      <w:r w:rsidRPr="00BB6251">
        <w:rPr>
          <w:sz w:val="24"/>
        </w:rPr>
        <w:tab/>
        <w:t xml:space="preserve">We rely on space for military security, social cohesion and national identity, economic security and development, </w:t>
      </w:r>
      <w:r>
        <w:rPr>
          <w:sz w:val="24"/>
        </w:rPr>
        <w:t xml:space="preserve">as well as </w:t>
      </w:r>
      <w:r w:rsidRPr="00BB6251">
        <w:rPr>
          <w:sz w:val="24"/>
        </w:rPr>
        <w:t>environmental safety</w:t>
      </w:r>
      <w:r>
        <w:rPr>
          <w:sz w:val="24"/>
        </w:rPr>
        <w:t>.</w:t>
      </w:r>
    </w:p>
    <w:p w:rsidR="00D67E8B" w:rsidRPr="00BB6251" w:rsidRDefault="00D67E8B" w:rsidP="00D67E8B">
      <w:pPr>
        <w:ind w:left="426" w:hanging="426"/>
        <w:jc w:val="both"/>
        <w:rPr>
          <w:sz w:val="24"/>
        </w:rPr>
      </w:pPr>
    </w:p>
    <w:p w:rsidR="00D67E8B" w:rsidRPr="00BB6251" w:rsidRDefault="00D67E8B" w:rsidP="00D67E8B">
      <w:pPr>
        <w:ind w:left="852" w:hanging="426"/>
        <w:jc w:val="both"/>
        <w:rPr>
          <w:sz w:val="24"/>
        </w:rPr>
      </w:pPr>
      <w:proofErr w:type="spellStart"/>
      <w:r w:rsidRPr="00BB6251">
        <w:rPr>
          <w:sz w:val="24"/>
        </w:rPr>
        <w:t>i</w:t>
      </w:r>
      <w:proofErr w:type="spellEnd"/>
      <w:r w:rsidRPr="00BB6251">
        <w:rPr>
          <w:sz w:val="24"/>
        </w:rPr>
        <w:t>.</w:t>
      </w:r>
      <w:r w:rsidRPr="00BB6251">
        <w:rPr>
          <w:sz w:val="24"/>
        </w:rPr>
        <w:tab/>
        <w:t xml:space="preserve">Military Security as articulated by the US Department of Defence </w:t>
      </w:r>
      <w:r>
        <w:rPr>
          <w:sz w:val="24"/>
        </w:rPr>
        <w:t>includes</w:t>
      </w:r>
      <w:r w:rsidRPr="00BB6251">
        <w:rPr>
          <w:sz w:val="24"/>
        </w:rPr>
        <w:t xml:space="preserve"> </w:t>
      </w:r>
      <w:r>
        <w:rPr>
          <w:sz w:val="24"/>
        </w:rPr>
        <w:t>‘</w:t>
      </w:r>
      <w:r w:rsidRPr="00BB6251">
        <w:rPr>
          <w:sz w:val="24"/>
        </w:rPr>
        <w:t xml:space="preserve">space capabilities that provide the United States and its allies advantages in national decision-making and military operations </w:t>
      </w:r>
      <w:proofErr w:type="gramStart"/>
      <w:r w:rsidRPr="00BB6251">
        <w:rPr>
          <w:sz w:val="24"/>
        </w:rPr>
        <w:t>......</w:t>
      </w:r>
      <w:proofErr w:type="gramEnd"/>
      <w:r w:rsidRPr="00BB6251">
        <w:rPr>
          <w:sz w:val="24"/>
        </w:rPr>
        <w:t xml:space="preserve"> Space systems provide national security decision-makers with unfettered global access and create a decision advantage by enabling a rapid and tailored response to global challenges. Moreover, space systems are vital to monitoring strategic and military developments as well as supporting treaty monitoring and arms control </w:t>
      </w:r>
      <w:proofErr w:type="gramStart"/>
      <w:r w:rsidRPr="00BB6251">
        <w:rPr>
          <w:sz w:val="24"/>
        </w:rPr>
        <w:t>verification</w:t>
      </w:r>
      <w:proofErr w:type="gramEnd"/>
      <w:r w:rsidRPr="00BB6251">
        <w:rPr>
          <w:sz w:val="24"/>
        </w:rPr>
        <w:t>.</w:t>
      </w:r>
      <w:r>
        <w:rPr>
          <w:sz w:val="24"/>
        </w:rPr>
        <w:t>’</w:t>
      </w:r>
      <w:r w:rsidRPr="00BB6251">
        <w:rPr>
          <w:rStyle w:val="FootnoteReference"/>
          <w:sz w:val="24"/>
        </w:rPr>
        <w:footnoteReference w:id="7"/>
      </w:r>
    </w:p>
    <w:p w:rsidR="00D67E8B" w:rsidRPr="00BB6251" w:rsidRDefault="00D67E8B" w:rsidP="00D67E8B">
      <w:pPr>
        <w:ind w:left="852" w:hanging="426"/>
        <w:jc w:val="both"/>
        <w:rPr>
          <w:sz w:val="24"/>
        </w:rPr>
      </w:pPr>
    </w:p>
    <w:p w:rsidR="00D67E8B" w:rsidRPr="00BB6251" w:rsidRDefault="00D67E8B" w:rsidP="00D67E8B">
      <w:pPr>
        <w:ind w:left="852" w:hanging="426"/>
        <w:jc w:val="both"/>
        <w:rPr>
          <w:sz w:val="24"/>
        </w:rPr>
      </w:pPr>
      <w:r w:rsidRPr="00BB6251">
        <w:rPr>
          <w:sz w:val="24"/>
        </w:rPr>
        <w:t>ii.</w:t>
      </w:r>
      <w:r w:rsidRPr="00BB6251">
        <w:rPr>
          <w:sz w:val="24"/>
        </w:rPr>
        <w:tab/>
        <w:t>Social stability, cohesion and preservation of national identity are facilitated, developed and sustained by shared values and experiences. Communication between individuals and mass communications advance these characteristics and create cultural identity and advance national security. International communication and interaction also play an important role in promoting understanding and international security.</w:t>
      </w:r>
    </w:p>
    <w:p w:rsidR="00D67E8B" w:rsidRPr="00BB6251" w:rsidRDefault="00D67E8B" w:rsidP="00D67E8B">
      <w:pPr>
        <w:ind w:left="852" w:hanging="426"/>
        <w:jc w:val="both"/>
        <w:rPr>
          <w:sz w:val="24"/>
        </w:rPr>
      </w:pPr>
    </w:p>
    <w:p w:rsidR="00D67E8B" w:rsidRPr="00BB6251" w:rsidRDefault="00D67E8B" w:rsidP="00D67E8B">
      <w:pPr>
        <w:ind w:left="852" w:hanging="426"/>
        <w:jc w:val="both"/>
        <w:rPr>
          <w:sz w:val="24"/>
        </w:rPr>
      </w:pPr>
      <w:r w:rsidRPr="00BB6251">
        <w:rPr>
          <w:sz w:val="24"/>
        </w:rPr>
        <w:tab/>
        <w:t>Most communication systems rely to some extent on space services, particularly in developing countries.</w:t>
      </w:r>
    </w:p>
    <w:p w:rsidR="00D67E8B" w:rsidRPr="00BB6251" w:rsidRDefault="00D67E8B" w:rsidP="00D67E8B">
      <w:pPr>
        <w:ind w:left="852" w:hanging="426"/>
        <w:jc w:val="both"/>
        <w:rPr>
          <w:sz w:val="24"/>
        </w:rPr>
      </w:pPr>
    </w:p>
    <w:p w:rsidR="00D67E8B" w:rsidRPr="00BB6251" w:rsidRDefault="00D67E8B" w:rsidP="00D67E8B">
      <w:pPr>
        <w:ind w:left="852" w:hanging="426"/>
        <w:jc w:val="both"/>
        <w:rPr>
          <w:sz w:val="24"/>
        </w:rPr>
      </w:pPr>
      <w:r w:rsidRPr="00BB6251">
        <w:rPr>
          <w:sz w:val="24"/>
        </w:rPr>
        <w:t>iii.</w:t>
      </w:r>
      <w:r w:rsidRPr="00BB6251">
        <w:rPr>
          <w:sz w:val="24"/>
        </w:rPr>
        <w:tab/>
        <w:t xml:space="preserve">The GPS system and communication networks are critical to economic security. They enable financial transactions to be communicated between institutions and </w:t>
      </w:r>
      <w:r>
        <w:rPr>
          <w:sz w:val="24"/>
        </w:rPr>
        <w:t xml:space="preserve">to </w:t>
      </w:r>
      <w:r w:rsidRPr="00BB6251">
        <w:rPr>
          <w:sz w:val="24"/>
        </w:rPr>
        <w:t>synchronise their timing. Transport services and navigation are also heavily dependent on GPS. Satellite Earth observation and weather satellites contribute to economic prosperity.</w:t>
      </w:r>
    </w:p>
    <w:p w:rsidR="00D67E8B" w:rsidRPr="00BB6251" w:rsidRDefault="00D67E8B" w:rsidP="00D67E8B">
      <w:pPr>
        <w:ind w:left="852" w:hanging="426"/>
        <w:jc w:val="both"/>
        <w:rPr>
          <w:sz w:val="24"/>
        </w:rPr>
      </w:pPr>
    </w:p>
    <w:p w:rsidR="00D67E8B" w:rsidRPr="00BB6251" w:rsidRDefault="00D67E8B" w:rsidP="00D67E8B">
      <w:pPr>
        <w:ind w:left="852" w:hanging="426"/>
        <w:jc w:val="both"/>
        <w:rPr>
          <w:sz w:val="24"/>
        </w:rPr>
      </w:pPr>
      <w:r w:rsidRPr="00BB6251">
        <w:rPr>
          <w:sz w:val="24"/>
        </w:rPr>
        <w:t>iv.</w:t>
      </w:r>
      <w:r w:rsidRPr="00BB6251">
        <w:rPr>
          <w:sz w:val="24"/>
        </w:rPr>
        <w:tab/>
        <w:t xml:space="preserve">In addition to weather satellites, other environmental monitoring systems are increasingly important to the security and sustainability of the Earth environment and populations. Satellites have a growing role in disaster detection and warnings, as well as </w:t>
      </w:r>
      <w:r>
        <w:rPr>
          <w:sz w:val="24"/>
        </w:rPr>
        <w:t xml:space="preserve">in </w:t>
      </w:r>
      <w:r w:rsidRPr="00BB6251">
        <w:rPr>
          <w:sz w:val="24"/>
        </w:rPr>
        <w:t>supporting relief efforts.</w:t>
      </w:r>
    </w:p>
    <w:p w:rsidR="00D67E8B" w:rsidRPr="00BB6251" w:rsidRDefault="00D67E8B" w:rsidP="00D67E8B">
      <w:pPr>
        <w:ind w:left="426" w:hanging="426"/>
        <w:jc w:val="both"/>
        <w:rPr>
          <w:sz w:val="24"/>
        </w:rPr>
      </w:pPr>
    </w:p>
    <w:p w:rsidR="00D67E8B" w:rsidRPr="00BB6251" w:rsidRDefault="00D67E8B" w:rsidP="00D67E8B">
      <w:pPr>
        <w:ind w:left="426" w:hanging="426"/>
        <w:jc w:val="both"/>
        <w:rPr>
          <w:sz w:val="24"/>
        </w:rPr>
      </w:pPr>
      <w:r w:rsidRPr="00BB6251">
        <w:rPr>
          <w:sz w:val="24"/>
        </w:rPr>
        <w:t>4.</w:t>
      </w:r>
      <w:r w:rsidRPr="00BB6251">
        <w:rPr>
          <w:i/>
          <w:sz w:val="24"/>
        </w:rPr>
        <w:tab/>
        <w:t>Solutions</w:t>
      </w:r>
    </w:p>
    <w:p w:rsidR="00D67E8B" w:rsidRPr="00BB6251" w:rsidRDefault="00D67E8B" w:rsidP="00D67E8B">
      <w:pPr>
        <w:ind w:left="426" w:hanging="426"/>
        <w:jc w:val="both"/>
        <w:rPr>
          <w:sz w:val="24"/>
        </w:rPr>
      </w:pPr>
    </w:p>
    <w:p w:rsidR="00D67E8B" w:rsidRPr="00BB6251" w:rsidRDefault="00D67E8B" w:rsidP="00D67E8B">
      <w:pPr>
        <w:ind w:left="426" w:hanging="426"/>
        <w:jc w:val="both"/>
        <w:rPr>
          <w:sz w:val="24"/>
          <w:u w:val="single"/>
        </w:rPr>
      </w:pPr>
      <w:r w:rsidRPr="00BB6251">
        <w:rPr>
          <w:sz w:val="24"/>
        </w:rPr>
        <w:tab/>
      </w:r>
      <w:r w:rsidRPr="00BB6251">
        <w:rPr>
          <w:sz w:val="24"/>
          <w:u w:val="single"/>
        </w:rPr>
        <w:t>United States</w:t>
      </w:r>
    </w:p>
    <w:p w:rsidR="00D67E8B" w:rsidRPr="00BB6251" w:rsidRDefault="00D67E8B" w:rsidP="00D67E8B">
      <w:pPr>
        <w:ind w:left="426" w:hanging="426"/>
        <w:jc w:val="both"/>
        <w:rPr>
          <w:sz w:val="24"/>
        </w:rPr>
      </w:pPr>
    </w:p>
    <w:p w:rsidR="00D67E8B" w:rsidRPr="00BB6251" w:rsidRDefault="00D67E8B" w:rsidP="00D67E8B">
      <w:pPr>
        <w:ind w:left="426" w:hanging="426"/>
        <w:jc w:val="both"/>
        <w:rPr>
          <w:sz w:val="24"/>
        </w:rPr>
      </w:pPr>
      <w:r w:rsidRPr="00BB6251">
        <w:rPr>
          <w:sz w:val="24"/>
        </w:rPr>
        <w:tab/>
        <w:t xml:space="preserve">The US Strategic Command </w:t>
      </w:r>
      <w:r>
        <w:rPr>
          <w:sz w:val="24"/>
        </w:rPr>
        <w:t>(</w:t>
      </w:r>
      <w:r w:rsidRPr="00BB6251">
        <w:rPr>
          <w:sz w:val="24"/>
        </w:rPr>
        <w:t xml:space="preserve">US </w:t>
      </w:r>
      <w:r>
        <w:rPr>
          <w:sz w:val="24"/>
        </w:rPr>
        <w:t>STRA</w:t>
      </w:r>
      <w:r w:rsidRPr="00BB6251">
        <w:rPr>
          <w:sz w:val="24"/>
        </w:rPr>
        <w:t>TCOM</w:t>
      </w:r>
      <w:r>
        <w:rPr>
          <w:sz w:val="24"/>
        </w:rPr>
        <w:t>)</w:t>
      </w:r>
      <w:r w:rsidRPr="00BB6251">
        <w:rPr>
          <w:rStyle w:val="FootnoteReference"/>
          <w:sz w:val="24"/>
        </w:rPr>
        <w:footnoteReference w:id="8"/>
      </w:r>
      <w:r w:rsidRPr="00BB6251">
        <w:rPr>
          <w:sz w:val="24"/>
        </w:rPr>
        <w:t xml:space="preserve"> is the primary provider of SSA</w:t>
      </w:r>
      <w:r>
        <w:rPr>
          <w:sz w:val="24"/>
        </w:rPr>
        <w:t>.  It tracks</w:t>
      </w:r>
      <w:r w:rsidRPr="00BB6251">
        <w:rPr>
          <w:sz w:val="24"/>
        </w:rPr>
        <w:t xml:space="preserve"> objects in space using a collection of ground-based telescopes and radars, </w:t>
      </w:r>
      <w:r>
        <w:rPr>
          <w:sz w:val="24"/>
        </w:rPr>
        <w:t>a</w:t>
      </w:r>
      <w:r w:rsidRPr="00BB6251">
        <w:rPr>
          <w:sz w:val="24"/>
        </w:rPr>
        <w:t xml:space="preserve"> space-based sensor in polar orbit, and a control centre in the Space Surveillance Network (SSN).</w:t>
      </w:r>
      <w:r w:rsidRPr="00BB6251">
        <w:rPr>
          <w:rStyle w:val="FootnoteReference"/>
          <w:sz w:val="24"/>
        </w:rPr>
        <w:footnoteReference w:id="9"/>
      </w:r>
      <w:r w:rsidRPr="00BB6251">
        <w:rPr>
          <w:sz w:val="24"/>
        </w:rPr>
        <w:t xml:space="preserve"> </w:t>
      </w:r>
      <w:r>
        <w:rPr>
          <w:sz w:val="24"/>
        </w:rPr>
        <w:t>US STRATCOM</w:t>
      </w:r>
      <w:r w:rsidRPr="00BB6251">
        <w:rPr>
          <w:sz w:val="24"/>
        </w:rPr>
        <w:t xml:space="preserve"> is the main source of publicly available data on unclassified space objects</w:t>
      </w:r>
      <w:r>
        <w:rPr>
          <w:sz w:val="24"/>
        </w:rPr>
        <w:t xml:space="preserve"> </w:t>
      </w:r>
      <w:r w:rsidRPr="00BB6251">
        <w:rPr>
          <w:sz w:val="24"/>
        </w:rPr>
        <w:t>larger than 5 cm</w:t>
      </w:r>
      <w:r>
        <w:rPr>
          <w:sz w:val="24"/>
        </w:rPr>
        <w:t>, including space debris</w:t>
      </w:r>
      <w:r w:rsidRPr="00BB6251">
        <w:rPr>
          <w:sz w:val="24"/>
        </w:rPr>
        <w:t>.</w:t>
      </w:r>
      <w:r w:rsidRPr="00BB6251">
        <w:rPr>
          <w:rStyle w:val="FootnoteReference"/>
          <w:sz w:val="24"/>
        </w:rPr>
        <w:footnoteReference w:id="10"/>
      </w:r>
    </w:p>
    <w:p w:rsidR="00D67E8B" w:rsidRPr="00BB6251" w:rsidRDefault="00D67E8B" w:rsidP="00D67E8B">
      <w:pPr>
        <w:ind w:left="426" w:hanging="426"/>
        <w:jc w:val="both"/>
        <w:rPr>
          <w:sz w:val="24"/>
        </w:rPr>
      </w:pPr>
    </w:p>
    <w:p w:rsidR="00D67E8B" w:rsidRPr="00BB6251" w:rsidRDefault="00D67E8B" w:rsidP="00D67E8B">
      <w:pPr>
        <w:ind w:left="426" w:hanging="426"/>
        <w:jc w:val="both"/>
        <w:rPr>
          <w:sz w:val="24"/>
          <w:u w:val="single"/>
        </w:rPr>
      </w:pPr>
      <w:r w:rsidRPr="00BB6251">
        <w:rPr>
          <w:sz w:val="24"/>
        </w:rPr>
        <w:tab/>
      </w:r>
      <w:r w:rsidRPr="00BB6251">
        <w:rPr>
          <w:sz w:val="24"/>
          <w:u w:val="single"/>
        </w:rPr>
        <w:t>ESA</w:t>
      </w:r>
    </w:p>
    <w:p w:rsidR="00D67E8B" w:rsidRPr="00BB6251" w:rsidRDefault="00D67E8B" w:rsidP="00D67E8B">
      <w:pPr>
        <w:ind w:left="426" w:hanging="426"/>
        <w:jc w:val="both"/>
        <w:rPr>
          <w:sz w:val="24"/>
        </w:rPr>
      </w:pPr>
    </w:p>
    <w:p w:rsidR="00D67E8B" w:rsidRPr="00BB6251" w:rsidRDefault="00D67E8B" w:rsidP="00D67E8B">
      <w:pPr>
        <w:ind w:left="426" w:hanging="426"/>
        <w:jc w:val="both"/>
        <w:rPr>
          <w:sz w:val="24"/>
        </w:rPr>
      </w:pPr>
      <w:r w:rsidRPr="00BB6251">
        <w:rPr>
          <w:sz w:val="24"/>
        </w:rPr>
        <w:tab/>
        <w:t xml:space="preserve">ESA has </w:t>
      </w:r>
      <w:r>
        <w:rPr>
          <w:sz w:val="24"/>
        </w:rPr>
        <w:t>not yet succeeded in</w:t>
      </w:r>
      <w:r w:rsidRPr="00BB6251">
        <w:rPr>
          <w:sz w:val="24"/>
        </w:rPr>
        <w:t xml:space="preserve"> establish</w:t>
      </w:r>
      <w:r>
        <w:rPr>
          <w:sz w:val="24"/>
        </w:rPr>
        <w:t>ing</w:t>
      </w:r>
      <w:r w:rsidRPr="00BB6251">
        <w:rPr>
          <w:sz w:val="24"/>
        </w:rPr>
        <w:t xml:space="preserve"> a system for SSA. ESA’s SSA program has now been stripped of its space surveillance and tracking</w:t>
      </w:r>
      <w:r>
        <w:rPr>
          <w:sz w:val="24"/>
        </w:rPr>
        <w:t xml:space="preserve"> functions</w:t>
      </w:r>
      <w:r w:rsidRPr="00BB6251">
        <w:rPr>
          <w:sz w:val="24"/>
        </w:rPr>
        <w:t>, and is focusing on the less-controversial</w:t>
      </w:r>
      <w:r>
        <w:rPr>
          <w:sz w:val="24"/>
        </w:rPr>
        <w:t xml:space="preserve">, </w:t>
      </w:r>
      <w:r w:rsidRPr="00BB6251">
        <w:rPr>
          <w:sz w:val="24"/>
        </w:rPr>
        <w:t>and less militarily relevant</w:t>
      </w:r>
      <w:r>
        <w:rPr>
          <w:sz w:val="24"/>
        </w:rPr>
        <w:t>,</w:t>
      </w:r>
      <w:r w:rsidRPr="00BB6251">
        <w:rPr>
          <w:sz w:val="24"/>
        </w:rPr>
        <w:t xml:space="preserve"> space weather and near-Earth object elements of SSA. However, the European Union has plans to address </w:t>
      </w:r>
      <w:r>
        <w:rPr>
          <w:sz w:val="24"/>
        </w:rPr>
        <w:t>space surveillance</w:t>
      </w:r>
      <w:r w:rsidRPr="00BB6251">
        <w:rPr>
          <w:sz w:val="24"/>
        </w:rPr>
        <w:t>.</w:t>
      </w:r>
      <w:r w:rsidRPr="00BB6251">
        <w:rPr>
          <w:rStyle w:val="FootnoteReference"/>
          <w:sz w:val="24"/>
        </w:rPr>
        <w:footnoteReference w:id="11"/>
      </w:r>
    </w:p>
    <w:p w:rsidR="00D67E8B" w:rsidRPr="00BB6251" w:rsidRDefault="00D67E8B" w:rsidP="00D67E8B">
      <w:pPr>
        <w:ind w:left="426" w:hanging="426"/>
        <w:jc w:val="both"/>
        <w:rPr>
          <w:sz w:val="24"/>
        </w:rPr>
      </w:pPr>
    </w:p>
    <w:p w:rsidR="00D67E8B" w:rsidRPr="00BB6251" w:rsidRDefault="00D67E8B" w:rsidP="00D67E8B">
      <w:pPr>
        <w:ind w:left="426" w:hanging="426"/>
        <w:jc w:val="both"/>
        <w:rPr>
          <w:sz w:val="24"/>
          <w:u w:val="single"/>
        </w:rPr>
      </w:pPr>
      <w:r w:rsidRPr="00BB6251">
        <w:rPr>
          <w:sz w:val="24"/>
        </w:rPr>
        <w:tab/>
      </w:r>
      <w:r w:rsidRPr="00BB6251">
        <w:rPr>
          <w:sz w:val="24"/>
          <w:u w:val="single"/>
        </w:rPr>
        <w:t>EU</w:t>
      </w:r>
    </w:p>
    <w:p w:rsidR="00D67E8B" w:rsidRPr="00BB6251" w:rsidRDefault="00D67E8B" w:rsidP="00D67E8B">
      <w:pPr>
        <w:ind w:left="426" w:hanging="426"/>
        <w:jc w:val="both"/>
        <w:rPr>
          <w:sz w:val="24"/>
        </w:rPr>
      </w:pPr>
    </w:p>
    <w:p w:rsidR="00D67E8B" w:rsidRPr="00BB6251" w:rsidRDefault="00D67E8B" w:rsidP="00D67E8B">
      <w:pPr>
        <w:ind w:left="426" w:hanging="426"/>
        <w:jc w:val="both"/>
        <w:rPr>
          <w:sz w:val="24"/>
        </w:rPr>
      </w:pPr>
      <w:r w:rsidRPr="00BB6251">
        <w:rPr>
          <w:sz w:val="24"/>
        </w:rPr>
        <w:tab/>
        <w:t xml:space="preserve">The European Commission </w:t>
      </w:r>
      <w:r>
        <w:rPr>
          <w:sz w:val="24"/>
        </w:rPr>
        <w:t>(</w:t>
      </w:r>
      <w:r w:rsidRPr="00BB6251">
        <w:rPr>
          <w:sz w:val="24"/>
        </w:rPr>
        <w:t>EC</w:t>
      </w:r>
      <w:r>
        <w:rPr>
          <w:sz w:val="24"/>
        </w:rPr>
        <w:t>)</w:t>
      </w:r>
      <w:r w:rsidRPr="00BB6251">
        <w:rPr>
          <w:sz w:val="24"/>
        </w:rPr>
        <w:t xml:space="preserve"> has proposed a Space Surveillance and Tracking (SST) programme.</w:t>
      </w:r>
      <w:r w:rsidRPr="00BB6251">
        <w:rPr>
          <w:rStyle w:val="FootnoteReference"/>
          <w:sz w:val="24"/>
        </w:rPr>
        <w:footnoteReference w:id="12"/>
      </w:r>
      <w:r w:rsidRPr="00BB6251">
        <w:rPr>
          <w:sz w:val="24"/>
        </w:rPr>
        <w:t xml:space="preserve"> The Draft Decision </w:t>
      </w:r>
      <w:r>
        <w:rPr>
          <w:sz w:val="24"/>
        </w:rPr>
        <w:t>proposes</w:t>
      </w:r>
      <w:r w:rsidRPr="00BB6251">
        <w:rPr>
          <w:sz w:val="24"/>
        </w:rPr>
        <w:t xml:space="preserve"> a seven-year programme to enable data collection and processing using national sensors and capabilities</w:t>
      </w:r>
      <w:r>
        <w:rPr>
          <w:sz w:val="24"/>
        </w:rPr>
        <w:t>.  The aim is</w:t>
      </w:r>
      <w:r w:rsidRPr="00BB6251">
        <w:rPr>
          <w:sz w:val="24"/>
        </w:rPr>
        <w:t xml:space="preserve"> to provide </w:t>
      </w:r>
      <w:r>
        <w:rPr>
          <w:sz w:val="24"/>
        </w:rPr>
        <w:t xml:space="preserve">an </w:t>
      </w:r>
      <w:r w:rsidRPr="00BB6251">
        <w:rPr>
          <w:sz w:val="24"/>
        </w:rPr>
        <w:t>SST information service to spacecraft operators and public authorities.</w:t>
      </w:r>
      <w:r w:rsidRPr="00BB6251">
        <w:rPr>
          <w:rStyle w:val="FootnoteReference"/>
          <w:sz w:val="24"/>
        </w:rPr>
        <w:footnoteReference w:id="13"/>
      </w:r>
      <w:r w:rsidRPr="00BB6251">
        <w:rPr>
          <w:sz w:val="24"/>
        </w:rPr>
        <w:t xml:space="preserve"> </w:t>
      </w:r>
    </w:p>
    <w:p w:rsidR="00D67E8B" w:rsidRPr="00BB6251" w:rsidRDefault="00D67E8B" w:rsidP="00D67E8B">
      <w:pPr>
        <w:ind w:left="426" w:hanging="426"/>
        <w:jc w:val="both"/>
        <w:rPr>
          <w:sz w:val="24"/>
        </w:rPr>
      </w:pPr>
    </w:p>
    <w:p w:rsidR="00D67E8B" w:rsidRPr="00BB6251" w:rsidRDefault="00D67E8B" w:rsidP="00D67E8B">
      <w:pPr>
        <w:ind w:left="426" w:hanging="426"/>
        <w:jc w:val="both"/>
        <w:rPr>
          <w:sz w:val="24"/>
        </w:rPr>
      </w:pPr>
      <w:r w:rsidRPr="00BB6251">
        <w:rPr>
          <w:sz w:val="24"/>
        </w:rPr>
        <w:tab/>
        <w:t xml:space="preserve">The </w:t>
      </w:r>
      <w:r>
        <w:rPr>
          <w:sz w:val="24"/>
        </w:rPr>
        <w:t xml:space="preserve">proposed </w:t>
      </w:r>
      <w:r w:rsidRPr="00BB6251">
        <w:rPr>
          <w:sz w:val="24"/>
        </w:rPr>
        <w:t>SST Service will comprise:</w:t>
      </w:r>
    </w:p>
    <w:p w:rsidR="00D67E8B" w:rsidRPr="00BB6251" w:rsidRDefault="00D67E8B" w:rsidP="00D67E8B">
      <w:pPr>
        <w:ind w:left="426" w:hanging="426"/>
        <w:jc w:val="both"/>
        <w:rPr>
          <w:sz w:val="24"/>
        </w:rPr>
      </w:pPr>
    </w:p>
    <w:p w:rsidR="00D67E8B" w:rsidRPr="00BB6251" w:rsidRDefault="00D67E8B" w:rsidP="00D67E8B">
      <w:pPr>
        <w:pStyle w:val="Point1letter"/>
        <w:rPr>
          <w:noProof/>
        </w:rPr>
      </w:pPr>
      <w:r w:rsidRPr="00BB6251">
        <w:tab/>
      </w:r>
      <w:r w:rsidRPr="00BB6251">
        <w:rPr>
          <w:noProof/>
        </w:rPr>
        <w:t>the risk assessment of a collision between spacecraft or between spacecraft and space debris and the generation of collision avoidance alerts during the launch and in-orbit operation of spacecrafts;</w:t>
      </w:r>
    </w:p>
    <w:p w:rsidR="00D67E8B" w:rsidRPr="00BB6251" w:rsidRDefault="00D67E8B" w:rsidP="00D67E8B">
      <w:pPr>
        <w:pStyle w:val="Point1letter"/>
        <w:rPr>
          <w:noProof/>
        </w:rPr>
      </w:pPr>
      <w:r w:rsidRPr="00BB6251">
        <w:rPr>
          <w:noProof/>
        </w:rPr>
        <w:t>the detection and risk assessment of on-orbit explosions or break-ups or collisions; and</w:t>
      </w:r>
    </w:p>
    <w:p w:rsidR="00D67E8B" w:rsidRPr="00BB6251" w:rsidRDefault="00D67E8B" w:rsidP="00D67E8B">
      <w:pPr>
        <w:pStyle w:val="Point1letter"/>
        <w:rPr>
          <w:noProof/>
        </w:rPr>
      </w:pPr>
      <w:r w:rsidRPr="00BB6251">
        <w:rPr>
          <w:noProof/>
        </w:rPr>
        <w:tab/>
        <w:t>the risk assessment of and alerts related to the re-entry of space objects and space debris into the Earth's atmosphere and the prediction of the time and location of impact.</w:t>
      </w:r>
      <w:r w:rsidRPr="00BB6251">
        <w:rPr>
          <w:rStyle w:val="FootnoteReference"/>
          <w:noProof/>
        </w:rPr>
        <w:footnoteReference w:id="14"/>
      </w:r>
    </w:p>
    <w:p w:rsidR="00D67E8B" w:rsidRPr="00BB6251" w:rsidRDefault="00D67E8B" w:rsidP="00D67E8B">
      <w:pPr>
        <w:ind w:left="426" w:hanging="426"/>
        <w:jc w:val="both"/>
        <w:rPr>
          <w:sz w:val="24"/>
        </w:rPr>
      </w:pPr>
      <w:r w:rsidRPr="00BB6251">
        <w:rPr>
          <w:sz w:val="24"/>
        </w:rPr>
        <w:tab/>
        <w:t>It is worth not</w:t>
      </w:r>
      <w:r>
        <w:rPr>
          <w:sz w:val="24"/>
        </w:rPr>
        <w:t>ing</w:t>
      </w:r>
      <w:r w:rsidRPr="00BB6251">
        <w:rPr>
          <w:sz w:val="24"/>
        </w:rPr>
        <w:t xml:space="preserve"> that the Draft Decision includes definitions of some terms not well</w:t>
      </w:r>
      <w:r>
        <w:rPr>
          <w:sz w:val="24"/>
        </w:rPr>
        <w:t>-</w:t>
      </w:r>
      <w:r w:rsidRPr="00BB6251">
        <w:rPr>
          <w:sz w:val="24"/>
        </w:rPr>
        <w:t>defined elsewhere. These include</w:t>
      </w:r>
      <w:r>
        <w:rPr>
          <w:sz w:val="24"/>
        </w:rPr>
        <w:t>:</w:t>
      </w:r>
      <w:r w:rsidRPr="00BB6251">
        <w:rPr>
          <w:rStyle w:val="FootnoteReference"/>
          <w:sz w:val="24"/>
        </w:rPr>
        <w:footnoteReference w:id="15"/>
      </w:r>
    </w:p>
    <w:p w:rsidR="00D67E8B" w:rsidRPr="00BB6251" w:rsidRDefault="00D67E8B" w:rsidP="00D67E8B">
      <w:pPr>
        <w:ind w:left="426" w:hanging="426"/>
        <w:jc w:val="both"/>
        <w:rPr>
          <w:sz w:val="24"/>
        </w:rPr>
      </w:pPr>
    </w:p>
    <w:p w:rsidR="00D67E8B" w:rsidRPr="00BB6251" w:rsidRDefault="00D67E8B" w:rsidP="00D67E8B">
      <w:pPr>
        <w:pStyle w:val="Point0number"/>
        <w:tabs>
          <w:tab w:val="clear" w:pos="850"/>
          <w:tab w:val="num" w:pos="1418"/>
        </w:tabs>
        <w:ind w:left="1418" w:hanging="567"/>
        <w:rPr>
          <w:noProof/>
        </w:rPr>
      </w:pPr>
      <w:r w:rsidRPr="00BB6251">
        <w:rPr>
          <w:noProof/>
        </w:rPr>
        <w:t>'Space object' means any man-made or natural object in outer space</w:t>
      </w:r>
      <w:r>
        <w:rPr>
          <w:noProof/>
        </w:rPr>
        <w:t>;</w:t>
      </w:r>
    </w:p>
    <w:p w:rsidR="00D67E8B" w:rsidRPr="00BB6251" w:rsidRDefault="00D67E8B" w:rsidP="00D67E8B">
      <w:pPr>
        <w:pStyle w:val="Point0number"/>
        <w:tabs>
          <w:tab w:val="clear" w:pos="850"/>
          <w:tab w:val="num" w:pos="1418"/>
        </w:tabs>
        <w:ind w:left="1418" w:hanging="567"/>
        <w:rPr>
          <w:noProof/>
        </w:rPr>
      </w:pPr>
      <w:r w:rsidRPr="00BB6251">
        <w:rPr>
          <w:noProof/>
        </w:rPr>
        <w:t>'Spacecraft' means any man-made space object serving a specific purpose, including artificial satellites;</w:t>
      </w:r>
    </w:p>
    <w:p w:rsidR="00D67E8B" w:rsidRPr="00BB6251" w:rsidRDefault="00D67E8B" w:rsidP="00D67E8B">
      <w:pPr>
        <w:pStyle w:val="Point0number"/>
        <w:tabs>
          <w:tab w:val="clear" w:pos="850"/>
          <w:tab w:val="num" w:pos="1418"/>
        </w:tabs>
        <w:ind w:left="1418" w:hanging="567"/>
        <w:rPr>
          <w:noProof/>
        </w:rPr>
      </w:pPr>
      <w:r w:rsidRPr="00BB6251">
        <w:rPr>
          <w:noProof/>
        </w:rPr>
        <w:t>'Space debris' means spacecraft or parts thereof that no longer serve any specific purpose</w:t>
      </w:r>
      <w:r>
        <w:rPr>
          <w:noProof/>
        </w:rPr>
        <w:t>,</w:t>
      </w:r>
      <w:r w:rsidRPr="00BB6251">
        <w:rPr>
          <w:noProof/>
        </w:rPr>
        <w:t xml:space="preserve"> including parts of rockets or artificial satellites, or inactive artificial satellites</w:t>
      </w:r>
      <w:r>
        <w:rPr>
          <w:noProof/>
        </w:rPr>
        <w:t>.</w:t>
      </w:r>
    </w:p>
    <w:p w:rsidR="00D67E8B" w:rsidRPr="00BB6251" w:rsidRDefault="00D67E8B" w:rsidP="00D67E8B">
      <w:pPr>
        <w:ind w:left="426" w:hanging="426"/>
        <w:jc w:val="both"/>
        <w:rPr>
          <w:sz w:val="24"/>
        </w:rPr>
      </w:pPr>
      <w:r w:rsidRPr="00BB6251">
        <w:rPr>
          <w:sz w:val="24"/>
        </w:rPr>
        <w:tab/>
        <w:t>Th</w:t>
      </w:r>
      <w:r>
        <w:rPr>
          <w:sz w:val="24"/>
        </w:rPr>
        <w:t>is</w:t>
      </w:r>
      <w:r w:rsidRPr="00BB6251">
        <w:rPr>
          <w:sz w:val="24"/>
        </w:rPr>
        <w:t xml:space="preserve"> definition of Space Debris</w:t>
      </w:r>
      <w:r>
        <w:rPr>
          <w:sz w:val="24"/>
        </w:rPr>
        <w:t>,</w:t>
      </w:r>
      <w:r w:rsidRPr="00BB6251">
        <w:rPr>
          <w:sz w:val="24"/>
        </w:rPr>
        <w:t xml:space="preserve"> confined to man-made space objects that "no longer serve any specific purpose"</w:t>
      </w:r>
      <w:r>
        <w:rPr>
          <w:sz w:val="24"/>
        </w:rPr>
        <w:t>,</w:t>
      </w:r>
      <w:r w:rsidRPr="00BB6251">
        <w:rPr>
          <w:sz w:val="24"/>
        </w:rPr>
        <w:t xml:space="preserve"> is virtually identical to the definition used by </w:t>
      </w:r>
      <w:r>
        <w:rPr>
          <w:sz w:val="24"/>
        </w:rPr>
        <w:t>the Inter-Agency Debris Coordination Committee (</w:t>
      </w:r>
      <w:r w:rsidRPr="00BB6251">
        <w:rPr>
          <w:sz w:val="24"/>
        </w:rPr>
        <w:t>IADC</w:t>
      </w:r>
      <w:r>
        <w:rPr>
          <w:sz w:val="24"/>
        </w:rPr>
        <w:t>)</w:t>
      </w:r>
      <w:r w:rsidRPr="00BB6251">
        <w:rPr>
          <w:sz w:val="24"/>
        </w:rPr>
        <w:t xml:space="preserve"> in its Debris Mitigation Guidelines, </w:t>
      </w:r>
      <w:r>
        <w:rPr>
          <w:sz w:val="24"/>
        </w:rPr>
        <w:t>which refers</w:t>
      </w:r>
      <w:r w:rsidRPr="00BB6251">
        <w:rPr>
          <w:sz w:val="24"/>
        </w:rPr>
        <w:t xml:space="preserve"> to "man-made objects ... in Earth orbit.... that are non-functional"</w:t>
      </w:r>
      <w:r w:rsidRPr="00BB6251">
        <w:rPr>
          <w:rStyle w:val="FootnoteReference"/>
          <w:sz w:val="24"/>
        </w:rPr>
        <w:footnoteReference w:id="16"/>
      </w:r>
      <w:r w:rsidRPr="00BB6251">
        <w:rPr>
          <w:sz w:val="24"/>
        </w:rPr>
        <w:t>. A spacecraft that can no longer perform its mission is considered</w:t>
      </w:r>
      <w:r>
        <w:rPr>
          <w:sz w:val="24"/>
        </w:rPr>
        <w:t xml:space="preserve"> by IADC to be</w:t>
      </w:r>
      <w:r w:rsidRPr="00BB6251">
        <w:rPr>
          <w:sz w:val="24"/>
        </w:rPr>
        <w:t xml:space="preserve"> </w:t>
      </w:r>
      <w:r>
        <w:rPr>
          <w:sz w:val="24"/>
        </w:rPr>
        <w:t>‘</w:t>
      </w:r>
      <w:r w:rsidRPr="00BB6251">
        <w:rPr>
          <w:sz w:val="24"/>
        </w:rPr>
        <w:t>non-functional</w:t>
      </w:r>
      <w:r>
        <w:rPr>
          <w:sz w:val="24"/>
        </w:rPr>
        <w:t>’.</w:t>
      </w:r>
      <w:r w:rsidRPr="00BB6251">
        <w:rPr>
          <w:rStyle w:val="FootnoteReference"/>
          <w:sz w:val="24"/>
        </w:rPr>
        <w:footnoteReference w:id="17"/>
      </w:r>
    </w:p>
    <w:p w:rsidR="00D67E8B" w:rsidRPr="00BB6251" w:rsidRDefault="00D67E8B" w:rsidP="00D67E8B">
      <w:pPr>
        <w:ind w:left="426" w:hanging="426"/>
        <w:jc w:val="both"/>
        <w:rPr>
          <w:sz w:val="24"/>
        </w:rPr>
      </w:pPr>
    </w:p>
    <w:p w:rsidR="00D67E8B" w:rsidRPr="00BB6251" w:rsidRDefault="00D67E8B" w:rsidP="00D67E8B">
      <w:pPr>
        <w:ind w:left="426" w:hanging="426"/>
        <w:jc w:val="both"/>
        <w:rPr>
          <w:sz w:val="24"/>
          <w:u w:val="single"/>
        </w:rPr>
      </w:pPr>
      <w:r w:rsidRPr="00BB6251">
        <w:rPr>
          <w:sz w:val="24"/>
        </w:rPr>
        <w:tab/>
      </w:r>
      <w:r w:rsidRPr="00BB6251">
        <w:rPr>
          <w:sz w:val="24"/>
          <w:u w:val="single"/>
        </w:rPr>
        <w:t xml:space="preserve">Space Data Association </w:t>
      </w:r>
      <w:r>
        <w:rPr>
          <w:sz w:val="24"/>
          <w:u w:val="single"/>
        </w:rPr>
        <w:t>(</w:t>
      </w:r>
      <w:r w:rsidRPr="00BB6251">
        <w:rPr>
          <w:sz w:val="24"/>
          <w:u w:val="single"/>
        </w:rPr>
        <w:t>SDA</w:t>
      </w:r>
      <w:r>
        <w:rPr>
          <w:sz w:val="24"/>
          <w:u w:val="single"/>
        </w:rPr>
        <w:t>)</w:t>
      </w:r>
    </w:p>
    <w:p w:rsidR="00D67E8B" w:rsidRPr="00BB6251" w:rsidRDefault="00D67E8B" w:rsidP="00D67E8B">
      <w:pPr>
        <w:ind w:left="426" w:hanging="426"/>
        <w:jc w:val="both"/>
        <w:rPr>
          <w:sz w:val="24"/>
        </w:rPr>
      </w:pPr>
    </w:p>
    <w:p w:rsidR="00D67E8B" w:rsidRPr="00BB6251" w:rsidRDefault="00D67E8B" w:rsidP="00D67E8B">
      <w:pPr>
        <w:ind w:left="426" w:hanging="426"/>
        <w:jc w:val="both"/>
        <w:rPr>
          <w:sz w:val="24"/>
        </w:rPr>
      </w:pPr>
      <w:r w:rsidRPr="00BB6251">
        <w:rPr>
          <w:sz w:val="24"/>
        </w:rPr>
        <w:tab/>
        <w:t>In 2009 a number of satellite operators established Space Data Association Limited</w:t>
      </w:r>
      <w:r w:rsidRPr="00BB6251">
        <w:rPr>
          <w:rStyle w:val="FootnoteReference"/>
          <w:sz w:val="24"/>
        </w:rPr>
        <w:footnoteReference w:id="18"/>
      </w:r>
      <w:r w:rsidRPr="00BB6251">
        <w:rPr>
          <w:sz w:val="24"/>
        </w:rPr>
        <w:t xml:space="preserve"> </w:t>
      </w:r>
      <w:r>
        <w:rPr>
          <w:sz w:val="24"/>
        </w:rPr>
        <w:t>(</w:t>
      </w:r>
      <w:r w:rsidRPr="00BB6251">
        <w:rPr>
          <w:sz w:val="24"/>
        </w:rPr>
        <w:t>SDA</w:t>
      </w:r>
      <w:r>
        <w:rPr>
          <w:sz w:val="24"/>
        </w:rPr>
        <w:t>)</w:t>
      </w:r>
      <w:r w:rsidRPr="00BB6251">
        <w:rPr>
          <w:sz w:val="24"/>
        </w:rPr>
        <w:t xml:space="preserve">, </w:t>
      </w:r>
      <w:r>
        <w:rPr>
          <w:sz w:val="24"/>
        </w:rPr>
        <w:t xml:space="preserve">a company </w:t>
      </w:r>
      <w:r w:rsidRPr="00BB6251">
        <w:rPr>
          <w:sz w:val="24"/>
        </w:rPr>
        <w:t xml:space="preserve">through which to share data relating to satellites </w:t>
      </w:r>
      <w:r>
        <w:rPr>
          <w:sz w:val="24"/>
        </w:rPr>
        <w:t xml:space="preserve">they </w:t>
      </w:r>
      <w:r w:rsidRPr="00BB6251">
        <w:rPr>
          <w:sz w:val="24"/>
        </w:rPr>
        <w:t>operated. Membership of the SDA is open to other qualifying satellite operators, whose rights and privileges vary according to the number of satellites they operate. Those with full participation rights operate not less than 10 satellites. Membership is open also to non-operators who meet certain criteria.</w:t>
      </w:r>
      <w:r w:rsidRPr="00BB6251">
        <w:rPr>
          <w:rStyle w:val="FootnoteReference"/>
          <w:sz w:val="24"/>
        </w:rPr>
        <w:footnoteReference w:id="19"/>
      </w:r>
    </w:p>
    <w:p w:rsidR="00D67E8B" w:rsidRPr="00BB6251" w:rsidRDefault="00D67E8B" w:rsidP="00D67E8B">
      <w:pPr>
        <w:ind w:left="426" w:hanging="426"/>
        <w:jc w:val="both"/>
        <w:rPr>
          <w:sz w:val="24"/>
        </w:rPr>
      </w:pPr>
    </w:p>
    <w:p w:rsidR="00D67E8B" w:rsidRPr="00BB6251" w:rsidRDefault="00D67E8B" w:rsidP="00D67E8B">
      <w:pPr>
        <w:widowControl w:val="0"/>
        <w:autoSpaceDE w:val="0"/>
        <w:autoSpaceDN w:val="0"/>
        <w:adjustRightInd w:val="0"/>
        <w:spacing w:after="240"/>
        <w:ind w:left="426" w:hanging="426"/>
        <w:jc w:val="both"/>
        <w:rPr>
          <w:sz w:val="24"/>
        </w:rPr>
      </w:pPr>
      <w:r w:rsidRPr="00BB6251">
        <w:rPr>
          <w:sz w:val="24"/>
        </w:rPr>
        <w:tab/>
        <w:t>Although commercial satellite operators had shared information about their satellites and orbital positions in the past, the SDA introduced common protocols to formalise the process of exchanging information and to achieve overall data compatibility.</w:t>
      </w:r>
      <w:r w:rsidRPr="00BB6251">
        <w:rPr>
          <w:rStyle w:val="FootnoteReference"/>
          <w:sz w:val="24"/>
        </w:rPr>
        <w:footnoteReference w:id="20"/>
      </w:r>
      <w:r w:rsidRPr="00BB6251">
        <w:rPr>
          <w:sz w:val="24"/>
        </w:rPr>
        <w:t xml:space="preserve"> SDA members share not only current positional and frequency data, but also </w:t>
      </w:r>
      <w:r>
        <w:rPr>
          <w:sz w:val="24"/>
        </w:rPr>
        <w:t xml:space="preserve">information about </w:t>
      </w:r>
      <w:r w:rsidRPr="00BB6251">
        <w:rPr>
          <w:sz w:val="24"/>
        </w:rPr>
        <w:t xml:space="preserve">planned manoeuvres </w:t>
      </w:r>
      <w:r>
        <w:rPr>
          <w:sz w:val="24"/>
        </w:rPr>
        <w:t xml:space="preserve">in order </w:t>
      </w:r>
      <w:r w:rsidRPr="00BB6251">
        <w:rPr>
          <w:sz w:val="24"/>
        </w:rPr>
        <w:t>to enhance conjunction avoidance.</w:t>
      </w:r>
      <w:r>
        <w:rPr>
          <w:rStyle w:val="FootnoteReference"/>
          <w:sz w:val="24"/>
        </w:rPr>
        <w:footnoteReference w:id="21"/>
      </w:r>
    </w:p>
    <w:p w:rsidR="00D67E8B" w:rsidRPr="00BB6251" w:rsidRDefault="00D67E8B" w:rsidP="00D67E8B">
      <w:pPr>
        <w:widowControl w:val="0"/>
        <w:autoSpaceDE w:val="0"/>
        <w:autoSpaceDN w:val="0"/>
        <w:adjustRightInd w:val="0"/>
        <w:spacing w:after="240"/>
        <w:ind w:left="426" w:hanging="426"/>
        <w:jc w:val="both"/>
        <w:rPr>
          <w:sz w:val="24"/>
        </w:rPr>
      </w:pPr>
      <w:r w:rsidRPr="00BB6251">
        <w:rPr>
          <w:sz w:val="24"/>
        </w:rPr>
        <w:tab/>
        <w:t xml:space="preserve">Clearly, to ensure </w:t>
      </w:r>
      <w:r>
        <w:rPr>
          <w:sz w:val="24"/>
        </w:rPr>
        <w:t xml:space="preserve">the </w:t>
      </w:r>
      <w:r w:rsidRPr="00BB6251">
        <w:rPr>
          <w:sz w:val="24"/>
        </w:rPr>
        <w:t>safety of their satellites, operators need access to more information than that relating to commercial satellites of the major operators. Therefore, in addition to encouraging smaller operators to join SDA, it also shares data with NOAA and NASA. However</w:t>
      </w:r>
      <w:r>
        <w:rPr>
          <w:sz w:val="24"/>
        </w:rPr>
        <w:t>,</w:t>
      </w:r>
      <w:r w:rsidRPr="00BB6251">
        <w:rPr>
          <w:sz w:val="24"/>
        </w:rPr>
        <w:t xml:space="preserve"> US STRATCOM and </w:t>
      </w:r>
      <w:r w:rsidRPr="00D924FB">
        <w:rPr>
          <w:sz w:val="24"/>
        </w:rPr>
        <w:t xml:space="preserve">the </w:t>
      </w:r>
      <w:r w:rsidRPr="00135B98">
        <w:rPr>
          <w:sz w:val="24"/>
        </w:rPr>
        <w:t xml:space="preserve">Joint Space Operations Centre </w:t>
      </w:r>
      <w:r>
        <w:rPr>
          <w:sz w:val="24"/>
        </w:rPr>
        <w:t>(</w:t>
      </w:r>
      <w:proofErr w:type="spellStart"/>
      <w:r w:rsidRPr="00BB6251">
        <w:rPr>
          <w:sz w:val="24"/>
        </w:rPr>
        <w:t>JSpOC</w:t>
      </w:r>
      <w:proofErr w:type="spellEnd"/>
      <w:r>
        <w:rPr>
          <w:sz w:val="24"/>
        </w:rPr>
        <w:t>)</w:t>
      </w:r>
      <w:r w:rsidRPr="00BB6251">
        <w:rPr>
          <w:rStyle w:val="FootnoteReference"/>
          <w:sz w:val="24"/>
        </w:rPr>
        <w:footnoteReference w:id="22"/>
      </w:r>
      <w:r w:rsidRPr="00BB6251">
        <w:rPr>
          <w:sz w:val="24"/>
        </w:rPr>
        <w:t xml:space="preserve"> have been unwilling to allow integration with SDA data on security grounds.</w:t>
      </w:r>
      <w:r w:rsidRPr="00BB6251">
        <w:rPr>
          <w:rStyle w:val="FootnoteReference"/>
          <w:sz w:val="24"/>
        </w:rPr>
        <w:footnoteReference w:id="23"/>
      </w:r>
    </w:p>
    <w:p w:rsidR="00D67E8B" w:rsidRPr="00BB6251" w:rsidRDefault="00D67E8B" w:rsidP="00D67E8B">
      <w:pPr>
        <w:widowControl w:val="0"/>
        <w:autoSpaceDE w:val="0"/>
        <w:autoSpaceDN w:val="0"/>
        <w:adjustRightInd w:val="0"/>
        <w:spacing w:after="240"/>
        <w:ind w:left="426" w:hanging="426"/>
        <w:jc w:val="both"/>
        <w:rPr>
          <w:sz w:val="24"/>
        </w:rPr>
      </w:pPr>
      <w:r w:rsidRPr="00BB6251">
        <w:rPr>
          <w:sz w:val="24"/>
        </w:rPr>
        <w:tab/>
        <w:t>Economic pressures</w:t>
      </w:r>
      <w:r>
        <w:rPr>
          <w:sz w:val="24"/>
        </w:rPr>
        <w:t>,</w:t>
      </w:r>
      <w:r w:rsidRPr="00BB6251">
        <w:rPr>
          <w:sz w:val="24"/>
        </w:rPr>
        <w:t xml:space="preserve"> and the new </w:t>
      </w:r>
      <w:r>
        <w:rPr>
          <w:sz w:val="24"/>
        </w:rPr>
        <w:t xml:space="preserve">US </w:t>
      </w:r>
      <w:r w:rsidRPr="00BB6251">
        <w:rPr>
          <w:sz w:val="24"/>
        </w:rPr>
        <w:t>D</w:t>
      </w:r>
      <w:r>
        <w:rPr>
          <w:sz w:val="24"/>
        </w:rPr>
        <w:t xml:space="preserve">epartment </w:t>
      </w:r>
      <w:r w:rsidRPr="00BB6251">
        <w:rPr>
          <w:sz w:val="24"/>
        </w:rPr>
        <w:t>o</w:t>
      </w:r>
      <w:r>
        <w:rPr>
          <w:sz w:val="24"/>
        </w:rPr>
        <w:t xml:space="preserve">f </w:t>
      </w:r>
      <w:r w:rsidRPr="00BB6251">
        <w:rPr>
          <w:sz w:val="24"/>
        </w:rPr>
        <w:t>D</w:t>
      </w:r>
      <w:r>
        <w:rPr>
          <w:sz w:val="24"/>
        </w:rPr>
        <w:t>efense</w:t>
      </w:r>
      <w:r w:rsidRPr="00BB6251">
        <w:rPr>
          <w:sz w:val="24"/>
        </w:rPr>
        <w:t xml:space="preserve"> Space Policy</w:t>
      </w:r>
      <w:r>
        <w:rPr>
          <w:sz w:val="24"/>
        </w:rPr>
        <w:t>,</w:t>
      </w:r>
      <w:r w:rsidRPr="00BB6251">
        <w:rPr>
          <w:sz w:val="24"/>
        </w:rPr>
        <w:t xml:space="preserve"> may accelerate cooperation with both international partners and commercial space companies, including SDA.</w:t>
      </w:r>
      <w:r w:rsidRPr="00BB6251">
        <w:rPr>
          <w:rStyle w:val="FootnoteReference"/>
          <w:rFonts w:cs="Arial"/>
          <w:sz w:val="24"/>
          <w:lang w:eastAsia="ja-JP"/>
        </w:rPr>
        <w:footnoteReference w:id="24"/>
      </w:r>
    </w:p>
    <w:p w:rsidR="00D67E8B" w:rsidRPr="00BB6251" w:rsidRDefault="00D67E8B" w:rsidP="00D67E8B">
      <w:pPr>
        <w:ind w:left="426" w:hanging="426"/>
        <w:jc w:val="both"/>
        <w:rPr>
          <w:sz w:val="24"/>
        </w:rPr>
      </w:pPr>
      <w:r w:rsidRPr="00BB6251">
        <w:rPr>
          <w:sz w:val="24"/>
        </w:rPr>
        <w:t>5.</w:t>
      </w:r>
      <w:r w:rsidRPr="00BB6251">
        <w:rPr>
          <w:sz w:val="24"/>
        </w:rPr>
        <w:tab/>
      </w:r>
      <w:r w:rsidRPr="00BB6251">
        <w:rPr>
          <w:i/>
          <w:sz w:val="24"/>
        </w:rPr>
        <w:t>Consequences</w:t>
      </w:r>
      <w:r>
        <w:rPr>
          <w:i/>
          <w:sz w:val="24"/>
        </w:rPr>
        <w:t xml:space="preserve"> of Improved SSA</w:t>
      </w:r>
    </w:p>
    <w:p w:rsidR="00D67E8B" w:rsidRPr="00BB6251" w:rsidRDefault="00D67E8B" w:rsidP="00D67E8B">
      <w:pPr>
        <w:ind w:left="426" w:hanging="426"/>
        <w:jc w:val="both"/>
        <w:rPr>
          <w:sz w:val="24"/>
        </w:rPr>
      </w:pPr>
    </w:p>
    <w:p w:rsidR="00D67E8B" w:rsidRPr="00BB6251" w:rsidRDefault="00D67E8B" w:rsidP="00D67E8B">
      <w:pPr>
        <w:ind w:left="426" w:hanging="426"/>
        <w:jc w:val="both"/>
        <w:rPr>
          <w:sz w:val="24"/>
        </w:rPr>
      </w:pPr>
      <w:r w:rsidRPr="00BB6251">
        <w:rPr>
          <w:sz w:val="24"/>
        </w:rPr>
        <w:tab/>
        <w:t>Improved SSA leading to a sustainable space environment is in the interest of all</w:t>
      </w:r>
      <w:r>
        <w:rPr>
          <w:sz w:val="24"/>
        </w:rPr>
        <w:t xml:space="preserve"> mankind</w:t>
      </w:r>
      <w:r w:rsidRPr="00BB6251">
        <w:rPr>
          <w:sz w:val="24"/>
        </w:rPr>
        <w:t xml:space="preserve">. </w:t>
      </w:r>
      <w:r>
        <w:rPr>
          <w:sz w:val="24"/>
        </w:rPr>
        <w:t>I</w:t>
      </w:r>
      <w:r w:rsidRPr="00BB6251">
        <w:rPr>
          <w:sz w:val="24"/>
        </w:rPr>
        <w:t>nformation about potential conjunctions is critical</w:t>
      </w:r>
      <w:r>
        <w:rPr>
          <w:sz w:val="24"/>
        </w:rPr>
        <w:t xml:space="preserve"> c</w:t>
      </w:r>
      <w:r w:rsidRPr="00BB6251">
        <w:rPr>
          <w:sz w:val="24"/>
        </w:rPr>
        <w:t xml:space="preserve">ommercially, as well as for security reasons. However, </w:t>
      </w:r>
      <w:r>
        <w:rPr>
          <w:sz w:val="24"/>
        </w:rPr>
        <w:t>SSA solutions</w:t>
      </w:r>
      <w:r w:rsidRPr="00BB6251">
        <w:rPr>
          <w:sz w:val="24"/>
        </w:rPr>
        <w:t xml:space="preserve"> are not without cost</w:t>
      </w:r>
      <w:r>
        <w:rPr>
          <w:sz w:val="24"/>
        </w:rPr>
        <w:t>,</w:t>
      </w:r>
      <w:r w:rsidRPr="00BB6251">
        <w:rPr>
          <w:sz w:val="24"/>
        </w:rPr>
        <w:t xml:space="preserve"> and can lead to more frequent conjunction</w:t>
      </w:r>
      <w:r>
        <w:rPr>
          <w:sz w:val="24"/>
        </w:rPr>
        <w:t>-</w:t>
      </w:r>
      <w:r w:rsidRPr="00BB6251">
        <w:rPr>
          <w:sz w:val="24"/>
        </w:rPr>
        <w:t>avoidance manoeuvres, reducing satellite life.</w:t>
      </w:r>
    </w:p>
    <w:p w:rsidR="00D67E8B" w:rsidRPr="00BB6251" w:rsidRDefault="00D67E8B" w:rsidP="00D67E8B">
      <w:pPr>
        <w:ind w:left="426" w:hanging="426"/>
        <w:jc w:val="both"/>
        <w:rPr>
          <w:sz w:val="24"/>
        </w:rPr>
      </w:pPr>
    </w:p>
    <w:p w:rsidR="00D67E8B" w:rsidRDefault="00D67E8B" w:rsidP="00D67E8B">
      <w:pPr>
        <w:ind w:left="426" w:hanging="426"/>
        <w:jc w:val="both"/>
        <w:rPr>
          <w:sz w:val="24"/>
        </w:rPr>
      </w:pPr>
      <w:r w:rsidRPr="00BB6251">
        <w:rPr>
          <w:sz w:val="24"/>
        </w:rPr>
        <w:tab/>
        <w:t xml:space="preserve">Although </w:t>
      </w:r>
      <w:r>
        <w:rPr>
          <w:sz w:val="24"/>
        </w:rPr>
        <w:t xml:space="preserve">space-related and other </w:t>
      </w:r>
      <w:r w:rsidRPr="00BB6251">
        <w:rPr>
          <w:sz w:val="24"/>
        </w:rPr>
        <w:t>insurance rates tend not to be driven as much by the specific risks associated with a given activity, as by the overall insurance capacity that is available</w:t>
      </w:r>
      <w:r>
        <w:rPr>
          <w:sz w:val="24"/>
        </w:rPr>
        <w:t>,</w:t>
      </w:r>
      <w:r w:rsidRPr="00BB6251">
        <w:rPr>
          <w:rStyle w:val="FootnoteReference"/>
          <w:rFonts w:cs="Times"/>
          <w:sz w:val="24"/>
          <w:lang w:eastAsia="ja-JP"/>
        </w:rPr>
        <w:footnoteReference w:id="25"/>
      </w:r>
      <w:r>
        <w:rPr>
          <w:sz w:val="24"/>
        </w:rPr>
        <w:t xml:space="preserve"> </w:t>
      </w:r>
      <w:r w:rsidRPr="00BB6251">
        <w:rPr>
          <w:sz w:val="24"/>
        </w:rPr>
        <w:t xml:space="preserve">SSA information may lead to reassessment of </w:t>
      </w:r>
      <w:r>
        <w:rPr>
          <w:sz w:val="24"/>
        </w:rPr>
        <w:t xml:space="preserve">satellite </w:t>
      </w:r>
      <w:r w:rsidRPr="00BB6251">
        <w:rPr>
          <w:sz w:val="24"/>
        </w:rPr>
        <w:t xml:space="preserve">life insurance premiums and </w:t>
      </w:r>
      <w:r>
        <w:rPr>
          <w:sz w:val="24"/>
        </w:rPr>
        <w:t xml:space="preserve">to </w:t>
      </w:r>
      <w:r w:rsidRPr="00BB6251">
        <w:rPr>
          <w:sz w:val="24"/>
        </w:rPr>
        <w:t xml:space="preserve">higher </w:t>
      </w:r>
      <w:r>
        <w:rPr>
          <w:sz w:val="24"/>
        </w:rPr>
        <w:t xml:space="preserve">project </w:t>
      </w:r>
      <w:r w:rsidRPr="00BB6251">
        <w:rPr>
          <w:sz w:val="24"/>
        </w:rPr>
        <w:t>costs. Currently</w:t>
      </w:r>
      <w:r>
        <w:rPr>
          <w:sz w:val="24"/>
        </w:rPr>
        <w:t>,</w:t>
      </w:r>
      <w:r w:rsidRPr="00BB6251">
        <w:rPr>
          <w:sz w:val="24"/>
        </w:rPr>
        <w:t xml:space="preserve"> the </w:t>
      </w:r>
      <w:r>
        <w:rPr>
          <w:sz w:val="24"/>
        </w:rPr>
        <w:t>greatest</w:t>
      </w:r>
      <w:r w:rsidRPr="00BB6251">
        <w:rPr>
          <w:sz w:val="24"/>
        </w:rPr>
        <w:t xml:space="preserve"> risk to satellites is at launch, but this may change due to</w:t>
      </w:r>
      <w:r>
        <w:rPr>
          <w:sz w:val="24"/>
        </w:rPr>
        <w:t xml:space="preserve"> the presence of</w:t>
      </w:r>
      <w:r w:rsidRPr="00BB6251">
        <w:rPr>
          <w:sz w:val="24"/>
        </w:rPr>
        <w:t xml:space="preserve"> increased orbital debris. </w:t>
      </w:r>
    </w:p>
    <w:p w:rsidR="00D67E8B" w:rsidRPr="00316BFC" w:rsidRDefault="00D67E8B" w:rsidP="00D67E8B">
      <w:pPr>
        <w:ind w:left="426" w:hanging="426"/>
        <w:jc w:val="both"/>
        <w:rPr>
          <w:rFonts w:cs="Times"/>
          <w:sz w:val="24"/>
          <w:lang w:eastAsia="ja-JP"/>
        </w:rPr>
      </w:pPr>
    </w:p>
    <w:p w:rsidR="00D67E8B" w:rsidRPr="00BB6251" w:rsidRDefault="00D67E8B" w:rsidP="00D67E8B">
      <w:pPr>
        <w:ind w:left="426" w:hanging="426"/>
        <w:jc w:val="both"/>
        <w:rPr>
          <w:sz w:val="24"/>
        </w:rPr>
      </w:pPr>
      <w:r w:rsidRPr="00BB6251">
        <w:rPr>
          <w:sz w:val="24"/>
        </w:rPr>
        <w:tab/>
        <w:t>A more significant and fundamental affect of better SSA may be t</w:t>
      </w:r>
      <w:r>
        <w:rPr>
          <w:sz w:val="24"/>
        </w:rPr>
        <w:t>he</w:t>
      </w:r>
      <w:r w:rsidRPr="00BB6251">
        <w:rPr>
          <w:sz w:val="24"/>
        </w:rPr>
        <w:t xml:space="preserve"> alter</w:t>
      </w:r>
      <w:r>
        <w:rPr>
          <w:sz w:val="24"/>
        </w:rPr>
        <w:t>ation</w:t>
      </w:r>
      <w:r w:rsidRPr="00BB6251">
        <w:rPr>
          <w:sz w:val="24"/>
        </w:rPr>
        <w:t xml:space="preserve"> </w:t>
      </w:r>
      <w:r>
        <w:rPr>
          <w:sz w:val="24"/>
        </w:rPr>
        <w:t>of the</w:t>
      </w:r>
      <w:r w:rsidRPr="00BB6251">
        <w:rPr>
          <w:sz w:val="24"/>
        </w:rPr>
        <w:t xml:space="preserve"> meaning of </w:t>
      </w:r>
      <w:r w:rsidRPr="00BB6251">
        <w:rPr>
          <w:i/>
          <w:sz w:val="24"/>
        </w:rPr>
        <w:t>fault</w:t>
      </w:r>
      <w:r w:rsidRPr="00BB6251">
        <w:rPr>
          <w:sz w:val="24"/>
        </w:rPr>
        <w:t xml:space="preserve"> in relation to international liability for damage caused</w:t>
      </w:r>
      <w:r>
        <w:rPr>
          <w:sz w:val="24"/>
        </w:rPr>
        <w:t xml:space="preserve"> by a space object</w:t>
      </w:r>
      <w:r w:rsidRPr="00BB6251">
        <w:rPr>
          <w:sz w:val="24"/>
        </w:rPr>
        <w:t xml:space="preserve"> elsewhere than on the surface of the Earth </w:t>
      </w:r>
      <w:r>
        <w:rPr>
          <w:sz w:val="24"/>
        </w:rPr>
        <w:t>and</w:t>
      </w:r>
      <w:r w:rsidRPr="00BB6251">
        <w:rPr>
          <w:sz w:val="24"/>
        </w:rPr>
        <w:t xml:space="preserve"> to flying aircraft.</w:t>
      </w:r>
      <w:r w:rsidRPr="00BB6251">
        <w:rPr>
          <w:rStyle w:val="FootnoteReference"/>
          <w:sz w:val="24"/>
        </w:rPr>
        <w:footnoteReference w:id="26"/>
      </w:r>
    </w:p>
    <w:p w:rsidR="00D67E8B" w:rsidRPr="00BB6251" w:rsidRDefault="00D67E8B" w:rsidP="00D67E8B">
      <w:pPr>
        <w:ind w:left="426" w:hanging="426"/>
        <w:jc w:val="both"/>
        <w:rPr>
          <w:sz w:val="24"/>
        </w:rPr>
      </w:pPr>
    </w:p>
    <w:p w:rsidR="00D67E8B" w:rsidRPr="00BB6251" w:rsidRDefault="00D67E8B" w:rsidP="00D67E8B">
      <w:pPr>
        <w:ind w:left="426" w:hanging="426"/>
        <w:jc w:val="both"/>
        <w:rPr>
          <w:sz w:val="24"/>
        </w:rPr>
      </w:pPr>
      <w:r w:rsidRPr="00BB6251">
        <w:rPr>
          <w:sz w:val="24"/>
        </w:rPr>
        <w:tab/>
        <w:t>In international law</w:t>
      </w:r>
      <w:r>
        <w:rPr>
          <w:sz w:val="24"/>
        </w:rPr>
        <w:t>,</w:t>
      </w:r>
      <w:r w:rsidRPr="00BB6251">
        <w:rPr>
          <w:sz w:val="24"/>
        </w:rPr>
        <w:t xml:space="preserve"> fault "means any act or inaction which violates an obligation."</w:t>
      </w:r>
      <w:r w:rsidRPr="00BB6251">
        <w:rPr>
          <w:rStyle w:val="FootnoteReference"/>
          <w:sz w:val="24"/>
        </w:rPr>
        <w:footnoteReference w:id="27"/>
      </w:r>
      <w:r w:rsidRPr="00BB6251">
        <w:rPr>
          <w:sz w:val="24"/>
        </w:rPr>
        <w:t xml:space="preserve"> It has </w:t>
      </w:r>
      <w:r>
        <w:rPr>
          <w:sz w:val="24"/>
        </w:rPr>
        <w:t xml:space="preserve">also </w:t>
      </w:r>
      <w:r w:rsidRPr="00BB6251">
        <w:rPr>
          <w:sz w:val="24"/>
        </w:rPr>
        <w:t xml:space="preserve">been argued that departing from recommended procedures, such as the IADC Debris Mitigation Guidelines, may </w:t>
      </w:r>
      <w:r>
        <w:rPr>
          <w:sz w:val="24"/>
        </w:rPr>
        <w:t>give rise to</w:t>
      </w:r>
      <w:r w:rsidRPr="00BB6251">
        <w:rPr>
          <w:sz w:val="24"/>
        </w:rPr>
        <w:t xml:space="preserve"> fault.</w:t>
      </w:r>
      <w:r w:rsidRPr="00BB6251">
        <w:rPr>
          <w:rStyle w:val="FootnoteReference"/>
          <w:sz w:val="24"/>
        </w:rPr>
        <w:footnoteReference w:id="28"/>
      </w:r>
    </w:p>
    <w:p w:rsidR="00D67E8B" w:rsidRPr="00BB6251" w:rsidRDefault="00D67E8B" w:rsidP="00D67E8B">
      <w:pPr>
        <w:ind w:left="426" w:hanging="426"/>
        <w:jc w:val="both"/>
        <w:rPr>
          <w:sz w:val="24"/>
        </w:rPr>
      </w:pPr>
    </w:p>
    <w:p w:rsidR="00D67E8B" w:rsidRPr="00BB6251" w:rsidRDefault="00D67E8B" w:rsidP="00D67E8B">
      <w:pPr>
        <w:ind w:left="426" w:hanging="426"/>
        <w:jc w:val="both"/>
        <w:rPr>
          <w:sz w:val="24"/>
        </w:rPr>
      </w:pPr>
      <w:r w:rsidRPr="00BB6251">
        <w:rPr>
          <w:sz w:val="24"/>
        </w:rPr>
        <w:tab/>
        <w:t xml:space="preserve">The IADC Guidelines may also gain greater relevance if they become routinely incorporated into operators' licences. In particular the Guidelines </w:t>
      </w:r>
      <w:r>
        <w:rPr>
          <w:sz w:val="24"/>
        </w:rPr>
        <w:t>provide</w:t>
      </w:r>
      <w:r w:rsidRPr="00BB6251">
        <w:rPr>
          <w:sz w:val="24"/>
        </w:rPr>
        <w:t>:</w:t>
      </w:r>
      <w:r>
        <w:rPr>
          <w:rStyle w:val="FootnoteReference"/>
          <w:sz w:val="24"/>
        </w:rPr>
        <w:footnoteReference w:id="29"/>
      </w:r>
    </w:p>
    <w:p w:rsidR="00D67E8B" w:rsidRPr="00BB6251" w:rsidRDefault="00D67E8B" w:rsidP="00D67E8B">
      <w:pPr>
        <w:ind w:left="426" w:hanging="426"/>
        <w:jc w:val="both"/>
        <w:rPr>
          <w:sz w:val="24"/>
        </w:rPr>
      </w:pPr>
    </w:p>
    <w:p w:rsidR="00D67E8B" w:rsidRPr="00BB6251" w:rsidRDefault="00D67E8B" w:rsidP="00D67E8B">
      <w:pPr>
        <w:ind w:left="852" w:hanging="426"/>
        <w:jc w:val="both"/>
        <w:rPr>
          <w:sz w:val="24"/>
        </w:rPr>
      </w:pPr>
      <w:r w:rsidRPr="00BB6251">
        <w:rPr>
          <w:sz w:val="24"/>
        </w:rPr>
        <w:tab/>
        <w:t>Prevention of On-Orbit Collisions</w:t>
      </w:r>
    </w:p>
    <w:p w:rsidR="00D67E8B" w:rsidRPr="00BB6251" w:rsidRDefault="00D67E8B" w:rsidP="00D67E8B">
      <w:pPr>
        <w:ind w:left="852" w:hanging="426"/>
        <w:jc w:val="both"/>
        <w:rPr>
          <w:sz w:val="24"/>
        </w:rPr>
      </w:pPr>
    </w:p>
    <w:p w:rsidR="00D67E8B" w:rsidRPr="00BB6251" w:rsidRDefault="00D67E8B" w:rsidP="00D67E8B">
      <w:pPr>
        <w:ind w:left="852" w:hanging="426"/>
        <w:jc w:val="both"/>
        <w:rPr>
          <w:sz w:val="24"/>
        </w:rPr>
      </w:pPr>
      <w:r w:rsidRPr="00BB6251">
        <w:rPr>
          <w:sz w:val="24"/>
        </w:rPr>
        <w:tab/>
        <w:t>In developing the design and mission profile of a spacecraft or orbital stage, a program or project should estimate and limit the probability of accidental collision with known objects during the spacecraft or orbital stage’s orbital lifetime. If reliable orbital data is available, avoidance manoeuvres for spacecraft and co-ordination of launch windows may be considered if the collision risk is not considered negligible. Spacecraft design should limit the consequences of collision with small debris</w:t>
      </w:r>
      <w:r>
        <w:rPr>
          <w:sz w:val="24"/>
        </w:rPr>
        <w:t xml:space="preserve"> [that]</w:t>
      </w:r>
      <w:r w:rsidRPr="00BB6251">
        <w:rPr>
          <w:sz w:val="24"/>
        </w:rPr>
        <w:t xml:space="preserve"> could cause a loss of control, thus preventing post-mission disposal.</w:t>
      </w:r>
    </w:p>
    <w:p w:rsidR="00D67E8B" w:rsidRPr="00BB6251" w:rsidRDefault="00D67E8B" w:rsidP="00D67E8B">
      <w:pPr>
        <w:ind w:left="852" w:hanging="426"/>
        <w:jc w:val="both"/>
        <w:rPr>
          <w:sz w:val="24"/>
        </w:rPr>
      </w:pPr>
    </w:p>
    <w:p w:rsidR="00D67E8B" w:rsidRPr="00BB6251" w:rsidRDefault="00D67E8B" w:rsidP="00D67E8B">
      <w:pPr>
        <w:ind w:left="426" w:hanging="426"/>
        <w:jc w:val="both"/>
        <w:rPr>
          <w:sz w:val="24"/>
        </w:rPr>
      </w:pPr>
      <w:r w:rsidRPr="00BB6251">
        <w:rPr>
          <w:sz w:val="24"/>
        </w:rPr>
        <w:tab/>
        <w:t xml:space="preserve">The terms of the </w:t>
      </w:r>
      <w:r>
        <w:rPr>
          <w:sz w:val="24"/>
        </w:rPr>
        <w:t>G</w:t>
      </w:r>
      <w:r w:rsidRPr="00BB6251">
        <w:rPr>
          <w:sz w:val="24"/>
        </w:rPr>
        <w:t xml:space="preserve">uideline require that operators take measures to avoid conjunctions. In </w:t>
      </w:r>
      <w:r>
        <w:rPr>
          <w:sz w:val="24"/>
        </w:rPr>
        <w:t>relation to</w:t>
      </w:r>
      <w:r w:rsidRPr="00BB6251">
        <w:rPr>
          <w:sz w:val="24"/>
        </w:rPr>
        <w:t xml:space="preserve"> the collision between Cosmos </w:t>
      </w:r>
      <w:r>
        <w:rPr>
          <w:sz w:val="24"/>
        </w:rPr>
        <w:t>2251</w:t>
      </w:r>
      <w:r w:rsidRPr="00BB6251">
        <w:rPr>
          <w:sz w:val="24"/>
        </w:rPr>
        <w:t xml:space="preserve"> and Iridium 33, a case has been made that the information available to Iridium was not sufficiently accurate</w:t>
      </w:r>
      <w:r>
        <w:rPr>
          <w:sz w:val="24"/>
        </w:rPr>
        <w:t>.</w:t>
      </w:r>
      <w:r w:rsidRPr="00BB6251">
        <w:rPr>
          <w:sz w:val="24"/>
        </w:rPr>
        <w:t xml:space="preserve"> </w:t>
      </w:r>
      <w:proofErr w:type="gramStart"/>
      <w:r>
        <w:rPr>
          <w:sz w:val="24"/>
        </w:rPr>
        <w:t>This</w:t>
      </w:r>
      <w:r w:rsidRPr="00BB6251">
        <w:rPr>
          <w:sz w:val="24"/>
        </w:rPr>
        <w:t xml:space="preserve"> create</w:t>
      </w:r>
      <w:r>
        <w:rPr>
          <w:sz w:val="24"/>
        </w:rPr>
        <w:t>d</w:t>
      </w:r>
      <w:r w:rsidRPr="00BB6251">
        <w:rPr>
          <w:sz w:val="24"/>
        </w:rPr>
        <w:t xml:space="preserve"> doubt as to the risk of conjunction</w:t>
      </w:r>
      <w:r>
        <w:rPr>
          <w:sz w:val="24"/>
        </w:rPr>
        <w:t>,</w:t>
      </w:r>
      <w:r w:rsidRPr="00BB6251">
        <w:rPr>
          <w:sz w:val="24"/>
        </w:rPr>
        <w:t xml:space="preserve"> and the measures that might lead to avoidance of a collision.</w:t>
      </w:r>
      <w:proofErr w:type="gramEnd"/>
    </w:p>
    <w:p w:rsidR="00D67E8B" w:rsidRPr="00BB6251" w:rsidRDefault="00D67E8B" w:rsidP="00D67E8B">
      <w:pPr>
        <w:ind w:left="426" w:hanging="426"/>
        <w:jc w:val="both"/>
        <w:rPr>
          <w:sz w:val="24"/>
        </w:rPr>
      </w:pPr>
    </w:p>
    <w:p w:rsidR="00D67E8B" w:rsidRPr="00BB6251" w:rsidRDefault="00D67E8B" w:rsidP="00D67E8B">
      <w:pPr>
        <w:ind w:left="426" w:hanging="426"/>
        <w:jc w:val="both"/>
        <w:rPr>
          <w:sz w:val="24"/>
        </w:rPr>
      </w:pPr>
      <w:r w:rsidRPr="00BB6251">
        <w:rPr>
          <w:sz w:val="24"/>
        </w:rPr>
        <w:tab/>
        <w:t xml:space="preserve">With the advent of improved SSA and better warnings, operators may reconsider their procedures and how they respond to conjunction warnings. </w:t>
      </w:r>
    </w:p>
    <w:p w:rsidR="00D67E8B" w:rsidRPr="00BB6251" w:rsidRDefault="00D67E8B" w:rsidP="00D67E8B">
      <w:pPr>
        <w:ind w:left="426" w:hanging="426"/>
        <w:jc w:val="both"/>
        <w:rPr>
          <w:sz w:val="24"/>
        </w:rPr>
      </w:pPr>
    </w:p>
    <w:p w:rsidR="00D67E8B" w:rsidRPr="00BB6251" w:rsidRDefault="00D67E8B" w:rsidP="00D67E8B">
      <w:pPr>
        <w:ind w:left="426" w:hanging="426"/>
        <w:jc w:val="both"/>
        <w:rPr>
          <w:sz w:val="24"/>
        </w:rPr>
      </w:pPr>
      <w:r w:rsidRPr="00BB6251">
        <w:rPr>
          <w:sz w:val="24"/>
        </w:rPr>
        <w:t>6.</w:t>
      </w:r>
      <w:r w:rsidRPr="00BB6251">
        <w:rPr>
          <w:sz w:val="24"/>
        </w:rPr>
        <w:tab/>
      </w:r>
      <w:r w:rsidRPr="00BB6251">
        <w:rPr>
          <w:i/>
          <w:sz w:val="24"/>
        </w:rPr>
        <w:t>An Alternative Future</w:t>
      </w:r>
    </w:p>
    <w:p w:rsidR="00D67E8B" w:rsidRPr="00BB6251" w:rsidRDefault="00D67E8B" w:rsidP="00D67E8B">
      <w:pPr>
        <w:ind w:left="426" w:hanging="426"/>
        <w:jc w:val="both"/>
        <w:rPr>
          <w:sz w:val="24"/>
        </w:rPr>
      </w:pPr>
    </w:p>
    <w:p w:rsidR="00D67E8B" w:rsidRPr="00BB6251" w:rsidRDefault="00D67E8B" w:rsidP="00D67E8B">
      <w:pPr>
        <w:ind w:left="426" w:hanging="426"/>
        <w:jc w:val="both"/>
        <w:rPr>
          <w:sz w:val="24"/>
        </w:rPr>
      </w:pPr>
      <w:r w:rsidRPr="00BB6251">
        <w:rPr>
          <w:sz w:val="24"/>
        </w:rPr>
        <w:tab/>
        <w:t>The recent announcement by the US Air Force that its Space Surveillance System (Space Fence)</w:t>
      </w:r>
      <w:r w:rsidRPr="00BB6251">
        <w:rPr>
          <w:rStyle w:val="FootnoteReference"/>
          <w:sz w:val="24"/>
        </w:rPr>
        <w:footnoteReference w:id="30"/>
      </w:r>
      <w:r w:rsidRPr="00BB6251">
        <w:rPr>
          <w:rStyle w:val="FootnoteReference"/>
          <w:sz w:val="24"/>
        </w:rPr>
        <w:t xml:space="preserve"> </w:t>
      </w:r>
      <w:r w:rsidRPr="00BB6251">
        <w:rPr>
          <w:sz w:val="24"/>
        </w:rPr>
        <w:t>is to close on 1 September 2013</w:t>
      </w:r>
      <w:r w:rsidRPr="00BB6251">
        <w:rPr>
          <w:rStyle w:val="FootnoteReference"/>
          <w:sz w:val="24"/>
        </w:rPr>
        <w:footnoteReference w:id="31"/>
      </w:r>
      <w:r w:rsidRPr="00BB6251">
        <w:rPr>
          <w:sz w:val="24"/>
        </w:rPr>
        <w:t xml:space="preserve"> raises questions about the future of SSA. Closure of the Space Fence will reduce observations by approximately 40 </w:t>
      </w:r>
      <w:proofErr w:type="spellStart"/>
      <w:r w:rsidRPr="00BB6251">
        <w:rPr>
          <w:sz w:val="24"/>
        </w:rPr>
        <w:t>percent</w:t>
      </w:r>
      <w:proofErr w:type="spellEnd"/>
      <w:r w:rsidRPr="00BB6251">
        <w:rPr>
          <w:sz w:val="24"/>
        </w:rPr>
        <w:t xml:space="preserve"> of all observations performed by the Space Surveillance Network, </w:t>
      </w:r>
      <w:r>
        <w:rPr>
          <w:sz w:val="24"/>
        </w:rPr>
        <w:t>(</w:t>
      </w:r>
      <w:r w:rsidRPr="00BB6251">
        <w:rPr>
          <w:sz w:val="24"/>
        </w:rPr>
        <w:t>which includes other ground- and space-based sensor assets</w:t>
      </w:r>
      <w:r>
        <w:rPr>
          <w:sz w:val="24"/>
        </w:rPr>
        <w:t>)</w:t>
      </w:r>
      <w:r w:rsidRPr="00BB6251">
        <w:rPr>
          <w:sz w:val="24"/>
        </w:rPr>
        <w:t xml:space="preserve">, affecting the accuracy of the system. The Air Force is expected to award contracts for development of the next generation Space Fence in March 2014, </w:t>
      </w:r>
      <w:r>
        <w:rPr>
          <w:sz w:val="24"/>
        </w:rPr>
        <w:t xml:space="preserve">with the new system not </w:t>
      </w:r>
      <w:r w:rsidRPr="00BB6251">
        <w:rPr>
          <w:sz w:val="24"/>
        </w:rPr>
        <w:t xml:space="preserve">to become operational </w:t>
      </w:r>
      <w:r>
        <w:rPr>
          <w:sz w:val="24"/>
        </w:rPr>
        <w:t>until</w:t>
      </w:r>
      <w:r w:rsidRPr="00BB6251">
        <w:rPr>
          <w:sz w:val="24"/>
        </w:rPr>
        <w:t xml:space="preserve"> </w:t>
      </w:r>
      <w:r>
        <w:rPr>
          <w:sz w:val="24"/>
        </w:rPr>
        <w:t xml:space="preserve">late in </w:t>
      </w:r>
      <w:r w:rsidRPr="00BB6251">
        <w:rPr>
          <w:sz w:val="24"/>
        </w:rPr>
        <w:t>2018.</w:t>
      </w:r>
      <w:r w:rsidRPr="00BB6251">
        <w:rPr>
          <w:rStyle w:val="FootnoteReference"/>
          <w:sz w:val="24"/>
        </w:rPr>
        <w:footnoteReference w:id="32"/>
      </w:r>
    </w:p>
    <w:p w:rsidR="00D67E8B" w:rsidRPr="00BB6251" w:rsidRDefault="00D67E8B" w:rsidP="00D67E8B">
      <w:pPr>
        <w:ind w:left="426" w:hanging="426"/>
        <w:jc w:val="both"/>
        <w:rPr>
          <w:sz w:val="24"/>
        </w:rPr>
      </w:pPr>
    </w:p>
    <w:p w:rsidR="00D67E8B" w:rsidRPr="00BB6251" w:rsidRDefault="00D67E8B" w:rsidP="00D67E8B">
      <w:pPr>
        <w:ind w:left="426" w:hanging="426"/>
        <w:jc w:val="both"/>
        <w:rPr>
          <w:sz w:val="24"/>
        </w:rPr>
      </w:pPr>
      <w:r w:rsidRPr="00BB6251">
        <w:rPr>
          <w:sz w:val="24"/>
        </w:rPr>
        <w:tab/>
        <w:t xml:space="preserve">A possible solution to the reduction of Space Fence capabilities was articulated in the White Paper </w:t>
      </w:r>
      <w:proofErr w:type="spellStart"/>
      <w:r w:rsidRPr="00BB6251">
        <w:rPr>
          <w:i/>
          <w:sz w:val="24"/>
        </w:rPr>
        <w:t>Spacecast</w:t>
      </w:r>
      <w:proofErr w:type="spellEnd"/>
      <w:r w:rsidRPr="00BB6251">
        <w:rPr>
          <w:i/>
          <w:sz w:val="24"/>
        </w:rPr>
        <w:t xml:space="preserve"> 2020</w:t>
      </w:r>
      <w:r w:rsidRPr="00235AB9">
        <w:rPr>
          <w:sz w:val="24"/>
        </w:rPr>
        <w:t>.</w:t>
      </w:r>
      <w:r w:rsidRPr="00235AB9">
        <w:rPr>
          <w:rStyle w:val="FootnoteReference"/>
          <w:sz w:val="24"/>
        </w:rPr>
        <w:footnoteReference w:id="33"/>
      </w:r>
      <w:r>
        <w:rPr>
          <w:sz w:val="24"/>
        </w:rPr>
        <w:t xml:space="preserve"> </w:t>
      </w:r>
      <w:r w:rsidRPr="00BB6251">
        <w:rPr>
          <w:sz w:val="24"/>
        </w:rPr>
        <w:t xml:space="preserve">It explored and recommended the development of capabilities and technologies </w:t>
      </w:r>
      <w:r>
        <w:rPr>
          <w:sz w:val="24"/>
        </w:rPr>
        <w:t xml:space="preserve">that </w:t>
      </w:r>
      <w:r w:rsidRPr="00BB6251">
        <w:rPr>
          <w:sz w:val="24"/>
        </w:rPr>
        <w:t xml:space="preserve">the United States will require to exploit space for national security objectives. The White Paper </w:t>
      </w:r>
      <w:r>
        <w:rPr>
          <w:sz w:val="24"/>
        </w:rPr>
        <w:t>has</w:t>
      </w:r>
      <w:r w:rsidRPr="00BB6251">
        <w:rPr>
          <w:sz w:val="24"/>
        </w:rPr>
        <w:t xml:space="preserve"> space traffic control system </w:t>
      </w:r>
      <w:r>
        <w:rPr>
          <w:sz w:val="24"/>
        </w:rPr>
        <w:t>(</w:t>
      </w:r>
      <w:r w:rsidRPr="00BB6251">
        <w:rPr>
          <w:sz w:val="24"/>
        </w:rPr>
        <w:t>SPATRACS</w:t>
      </w:r>
      <w:r>
        <w:rPr>
          <w:sz w:val="24"/>
        </w:rPr>
        <w:t>)</w:t>
      </w:r>
      <w:r w:rsidRPr="00BB6251">
        <w:rPr>
          <w:sz w:val="24"/>
        </w:rPr>
        <w:t xml:space="preserve"> as its focus</w:t>
      </w:r>
      <w:r>
        <w:rPr>
          <w:sz w:val="24"/>
        </w:rPr>
        <w:t>,</w:t>
      </w:r>
      <w:r w:rsidRPr="00BB6251">
        <w:rPr>
          <w:sz w:val="24"/>
        </w:rPr>
        <w:t xml:space="preserve"> with the obvious requirement for accurate SSA. </w:t>
      </w:r>
      <w:proofErr w:type="spellStart"/>
      <w:r w:rsidRPr="00BB6251">
        <w:rPr>
          <w:sz w:val="24"/>
        </w:rPr>
        <w:t>Spacecast</w:t>
      </w:r>
      <w:proofErr w:type="spellEnd"/>
      <w:r w:rsidRPr="00BB6251">
        <w:rPr>
          <w:sz w:val="24"/>
        </w:rPr>
        <w:t xml:space="preserve"> 2020 includes the following statements:</w:t>
      </w:r>
    </w:p>
    <w:p w:rsidR="00D67E8B" w:rsidRPr="00BB6251" w:rsidRDefault="00D67E8B" w:rsidP="00D67E8B">
      <w:pPr>
        <w:ind w:left="426" w:hanging="426"/>
        <w:jc w:val="both"/>
        <w:rPr>
          <w:sz w:val="24"/>
        </w:rPr>
      </w:pPr>
    </w:p>
    <w:p w:rsidR="00D67E8B" w:rsidRPr="00BB6251" w:rsidRDefault="00D67E8B" w:rsidP="00D67E8B">
      <w:pPr>
        <w:ind w:left="852" w:hanging="426"/>
        <w:jc w:val="both"/>
        <w:rPr>
          <w:sz w:val="24"/>
        </w:rPr>
      </w:pPr>
      <w:r w:rsidRPr="00BB6251">
        <w:rPr>
          <w:sz w:val="24"/>
        </w:rPr>
        <w:tab/>
        <w:t xml:space="preserve">The key theme of changes [recommended in </w:t>
      </w:r>
      <w:proofErr w:type="spellStart"/>
      <w:r w:rsidRPr="00BB6251">
        <w:rPr>
          <w:sz w:val="24"/>
        </w:rPr>
        <w:t>Spacecast</w:t>
      </w:r>
      <w:proofErr w:type="spellEnd"/>
      <w:r w:rsidRPr="00BB6251">
        <w:rPr>
          <w:sz w:val="24"/>
        </w:rPr>
        <w:t xml:space="preserve"> 2020] is increased satellite autonomy (to include on-board navigation and housekeeping functions), which </w:t>
      </w:r>
      <w:proofErr w:type="gramStart"/>
      <w:r w:rsidRPr="00BB6251">
        <w:rPr>
          <w:sz w:val="24"/>
        </w:rPr>
        <w:t>implies ....</w:t>
      </w:r>
      <w:proofErr w:type="gramEnd"/>
      <w:r w:rsidRPr="00BB6251">
        <w:rPr>
          <w:sz w:val="24"/>
        </w:rPr>
        <w:t xml:space="preserve"> </w:t>
      </w:r>
      <w:proofErr w:type="gramStart"/>
      <w:r w:rsidRPr="00BB6251">
        <w:rPr>
          <w:sz w:val="24"/>
        </w:rPr>
        <w:t>an</w:t>
      </w:r>
      <w:proofErr w:type="gramEnd"/>
      <w:r w:rsidRPr="00BB6251">
        <w:rPr>
          <w:sz w:val="24"/>
        </w:rPr>
        <w:t xml:space="preserve"> entirely new way of tracking and controlling space systems .... </w:t>
      </w:r>
      <w:proofErr w:type="gramStart"/>
      <w:r w:rsidRPr="00BB6251">
        <w:rPr>
          <w:sz w:val="24"/>
        </w:rPr>
        <w:t>and</w:t>
      </w:r>
      <w:proofErr w:type="gramEnd"/>
      <w:r w:rsidRPr="00BB6251">
        <w:rPr>
          <w:sz w:val="24"/>
        </w:rPr>
        <w:t xml:space="preserve"> those transiting space .... .</w:t>
      </w:r>
    </w:p>
    <w:p w:rsidR="00D67E8B" w:rsidRPr="00BB6251" w:rsidRDefault="00D67E8B" w:rsidP="00D67E8B">
      <w:pPr>
        <w:ind w:left="852" w:hanging="426"/>
        <w:jc w:val="both"/>
        <w:rPr>
          <w:sz w:val="24"/>
        </w:rPr>
      </w:pPr>
    </w:p>
    <w:p w:rsidR="00D67E8B" w:rsidRPr="00BB6251" w:rsidRDefault="00D67E8B" w:rsidP="00D67E8B">
      <w:pPr>
        <w:ind w:left="852" w:hanging="426"/>
        <w:jc w:val="both"/>
        <w:rPr>
          <w:sz w:val="24"/>
        </w:rPr>
      </w:pPr>
      <w:r w:rsidRPr="00BB6251">
        <w:rPr>
          <w:sz w:val="24"/>
        </w:rPr>
        <w:tab/>
        <w:t xml:space="preserve">Three kinds of objects will exist that must be accurately tracked in order to accomplish true space traffic control: debris, uncooperative space systems, and SPATRACS-capable space systems. </w:t>
      </w:r>
      <w:proofErr w:type="gramStart"/>
      <w:r>
        <w:rPr>
          <w:sz w:val="24"/>
        </w:rPr>
        <w:t xml:space="preserve">.... </w:t>
      </w:r>
      <w:r w:rsidRPr="00BB6251">
        <w:rPr>
          <w:sz w:val="24"/>
        </w:rPr>
        <w:t>.</w:t>
      </w:r>
      <w:proofErr w:type="gramEnd"/>
      <w:r w:rsidRPr="00BB6251">
        <w:rPr>
          <w:sz w:val="24"/>
        </w:rPr>
        <w:t xml:space="preserve"> In SPATRACS, debris will be identified by space sensors and once identified, will be tracked easily due to its deterministic flight path degradation. With improvements in sensor technology, identification and tracking of increasingly smaller pieces of space debris will be possible.</w:t>
      </w:r>
    </w:p>
    <w:p w:rsidR="00D67E8B" w:rsidRPr="00BB6251" w:rsidRDefault="00D67E8B" w:rsidP="00D67E8B">
      <w:pPr>
        <w:ind w:left="852" w:hanging="426"/>
        <w:jc w:val="both"/>
        <w:rPr>
          <w:sz w:val="24"/>
        </w:rPr>
      </w:pPr>
    </w:p>
    <w:p w:rsidR="00D67E8B" w:rsidRPr="00BB6251" w:rsidRDefault="00D67E8B" w:rsidP="00D67E8B">
      <w:pPr>
        <w:ind w:left="852" w:hanging="426"/>
        <w:jc w:val="both"/>
        <w:rPr>
          <w:sz w:val="24"/>
        </w:rPr>
      </w:pPr>
      <w:r w:rsidRPr="00BB6251">
        <w:rPr>
          <w:sz w:val="24"/>
        </w:rPr>
        <w:tab/>
        <w:t>The design and integration of SPATRACS capability into satellite design is critical if the system is to be adopted. User participation will grow as the system evolves and proves its worth. Early generation SPATRACS could perform the bulk of its mission using its own sensor information. Additionally, SPATRACS satellites should be designed to incorporate off-board information. As satellites become increasingly autonomous, ever increasing accuracy can be realized.</w:t>
      </w:r>
    </w:p>
    <w:p w:rsidR="00D67E8B" w:rsidRPr="00BB6251" w:rsidRDefault="00D67E8B" w:rsidP="00D67E8B">
      <w:pPr>
        <w:ind w:left="852" w:hanging="426"/>
        <w:jc w:val="both"/>
        <w:rPr>
          <w:sz w:val="24"/>
        </w:rPr>
      </w:pPr>
    </w:p>
    <w:p w:rsidR="00D67E8B" w:rsidRPr="00BB6251" w:rsidRDefault="00D67E8B" w:rsidP="00D67E8B">
      <w:pPr>
        <w:ind w:left="852" w:hanging="426"/>
        <w:jc w:val="both"/>
        <w:rPr>
          <w:sz w:val="24"/>
        </w:rPr>
      </w:pPr>
      <w:r w:rsidRPr="00BB6251">
        <w:rPr>
          <w:sz w:val="24"/>
        </w:rPr>
        <w:tab/>
        <w:t xml:space="preserve">Relatively small </w:t>
      </w:r>
      <w:proofErr w:type="gramStart"/>
      <w:r w:rsidRPr="00BB6251">
        <w:rPr>
          <w:sz w:val="24"/>
        </w:rPr>
        <w:t xml:space="preserve">crews </w:t>
      </w:r>
      <w:r>
        <w:rPr>
          <w:sz w:val="24"/>
        </w:rPr>
        <w:t>....</w:t>
      </w:r>
      <w:proofErr w:type="gramEnd"/>
      <w:r w:rsidRPr="00BB6251">
        <w:rPr>
          <w:sz w:val="24"/>
        </w:rPr>
        <w:t xml:space="preserve"> </w:t>
      </w:r>
      <w:proofErr w:type="gramStart"/>
      <w:r w:rsidRPr="00BB6251">
        <w:rPr>
          <w:sz w:val="24"/>
        </w:rPr>
        <w:t>will</w:t>
      </w:r>
      <w:proofErr w:type="gramEnd"/>
      <w:r w:rsidRPr="00BB6251">
        <w:rPr>
          <w:sz w:val="24"/>
        </w:rPr>
        <w:t xml:space="preserve"> man SPATRACS ground stations. These ground stations (primary and backup) will be responsible for handling anomalous situations, authorizing, coordinating and reporting collision avoidance </w:t>
      </w:r>
      <w:proofErr w:type="spellStart"/>
      <w:r w:rsidRPr="00BB6251">
        <w:rPr>
          <w:sz w:val="24"/>
        </w:rPr>
        <w:t>maneuvers</w:t>
      </w:r>
      <w:proofErr w:type="spellEnd"/>
      <w:r w:rsidRPr="00BB6251">
        <w:rPr>
          <w:sz w:val="24"/>
        </w:rPr>
        <w:t xml:space="preserve"> with satellite owners, and coordinating space object identification (particularly threat identification). Overseas ground sites, with their cost and vulnerability, will be eliminated. All the data gathered </w:t>
      </w:r>
      <w:proofErr w:type="gramStart"/>
      <w:r w:rsidRPr="00BB6251">
        <w:rPr>
          <w:sz w:val="24"/>
        </w:rPr>
        <w:t>can</w:t>
      </w:r>
      <w:proofErr w:type="gramEnd"/>
      <w:r w:rsidRPr="00BB6251">
        <w:rPr>
          <w:sz w:val="24"/>
        </w:rPr>
        <w:t xml:space="preserve"> be augmented by ground site data collected from continental US bases, but the system can remain autonomous.</w:t>
      </w:r>
    </w:p>
    <w:p w:rsidR="00D67E8B" w:rsidRPr="00BB6251" w:rsidRDefault="00D67E8B" w:rsidP="00D67E8B">
      <w:pPr>
        <w:ind w:left="426" w:hanging="426"/>
        <w:jc w:val="both"/>
        <w:rPr>
          <w:sz w:val="24"/>
        </w:rPr>
      </w:pPr>
    </w:p>
    <w:p w:rsidR="00D67E8B" w:rsidRDefault="00D67E8B" w:rsidP="00D67E8B">
      <w:pPr>
        <w:ind w:left="426" w:hanging="426"/>
        <w:jc w:val="both"/>
        <w:rPr>
          <w:sz w:val="24"/>
        </w:rPr>
      </w:pPr>
      <w:r w:rsidRPr="00BB6251">
        <w:rPr>
          <w:sz w:val="24"/>
        </w:rPr>
        <w:tab/>
        <w:t xml:space="preserve">As the </w:t>
      </w:r>
      <w:r>
        <w:rPr>
          <w:sz w:val="24"/>
        </w:rPr>
        <w:t xml:space="preserve">White </w:t>
      </w:r>
      <w:r w:rsidRPr="00BB6251">
        <w:rPr>
          <w:sz w:val="24"/>
        </w:rPr>
        <w:t xml:space="preserve">Paper states, the system will be improved by user participation. Such participation could be conducted through SDA, or </w:t>
      </w:r>
      <w:r>
        <w:rPr>
          <w:sz w:val="24"/>
        </w:rPr>
        <w:t>through an</w:t>
      </w:r>
      <w:r w:rsidRPr="00BB6251">
        <w:rPr>
          <w:sz w:val="24"/>
        </w:rPr>
        <w:t xml:space="preserve">other grouping of commercial operators. However, to engage </w:t>
      </w:r>
      <w:r>
        <w:rPr>
          <w:sz w:val="24"/>
        </w:rPr>
        <w:t>in this way</w:t>
      </w:r>
      <w:r w:rsidRPr="00BB6251">
        <w:rPr>
          <w:sz w:val="24"/>
        </w:rPr>
        <w:t>, SDA may need to transfer some of its operations to SPARTRACS, to avoid security concerns.</w:t>
      </w:r>
    </w:p>
    <w:p w:rsidR="00D67E8B" w:rsidRDefault="00D67E8B" w:rsidP="00D67E8B">
      <w:pPr>
        <w:ind w:left="426" w:hanging="426"/>
        <w:jc w:val="both"/>
        <w:rPr>
          <w:sz w:val="24"/>
        </w:rPr>
      </w:pPr>
    </w:p>
    <w:p w:rsidR="00D67E8B" w:rsidRDefault="00D67E8B" w:rsidP="00D67E8B">
      <w:pPr>
        <w:ind w:left="426" w:hanging="426"/>
        <w:jc w:val="both"/>
        <w:rPr>
          <w:sz w:val="24"/>
        </w:rPr>
      </w:pPr>
      <w:r>
        <w:rPr>
          <w:sz w:val="24"/>
        </w:rPr>
        <w:t>7.</w:t>
      </w:r>
      <w:r>
        <w:rPr>
          <w:sz w:val="24"/>
        </w:rPr>
        <w:tab/>
      </w:r>
      <w:r>
        <w:rPr>
          <w:i/>
          <w:sz w:val="24"/>
        </w:rPr>
        <w:t>Conclusion</w:t>
      </w:r>
    </w:p>
    <w:p w:rsidR="00D67E8B" w:rsidRDefault="00D67E8B" w:rsidP="00D67E8B">
      <w:pPr>
        <w:ind w:left="426" w:hanging="426"/>
        <w:jc w:val="both"/>
        <w:rPr>
          <w:sz w:val="24"/>
        </w:rPr>
      </w:pPr>
    </w:p>
    <w:p w:rsidR="00D67E8B" w:rsidRDefault="00D67E8B" w:rsidP="00D67E8B">
      <w:pPr>
        <w:ind w:left="426" w:hanging="426"/>
        <w:jc w:val="both"/>
        <w:rPr>
          <w:sz w:val="24"/>
        </w:rPr>
      </w:pPr>
      <w:r>
        <w:rPr>
          <w:sz w:val="24"/>
        </w:rPr>
        <w:tab/>
        <w:t>There is a friction between SSA requirements of international sharing of information and national security concerns. Ideally all governmental and commercial satellite operators would share both orbital and proposed manoeuvre information. Political considerations may not create the environment to achieve the ideal.</w:t>
      </w:r>
    </w:p>
    <w:p w:rsidR="00D67E8B" w:rsidRDefault="00D67E8B" w:rsidP="00D67E8B">
      <w:pPr>
        <w:ind w:left="426" w:hanging="426"/>
        <w:jc w:val="both"/>
        <w:rPr>
          <w:sz w:val="24"/>
        </w:rPr>
      </w:pPr>
    </w:p>
    <w:p w:rsidR="00D67E8B" w:rsidRPr="005B00E9" w:rsidRDefault="00D67E8B" w:rsidP="00D67E8B">
      <w:pPr>
        <w:ind w:left="426" w:hanging="426"/>
        <w:jc w:val="both"/>
        <w:rPr>
          <w:sz w:val="24"/>
        </w:rPr>
      </w:pPr>
      <w:r>
        <w:rPr>
          <w:sz w:val="24"/>
        </w:rPr>
        <w:tab/>
        <w:t xml:space="preserve">The development of </w:t>
      </w:r>
      <w:proofErr w:type="gramStart"/>
      <w:r>
        <w:rPr>
          <w:sz w:val="24"/>
        </w:rPr>
        <w:t>an</w:t>
      </w:r>
      <w:proofErr w:type="gramEnd"/>
      <w:r>
        <w:rPr>
          <w:sz w:val="24"/>
        </w:rPr>
        <w:t xml:space="preserve"> EU surveillance capability will add to the sources of information. Together with initiatives like SDA, SSA will improve. How quickly and to what degree it will occur remains significantly dependent on the measures and stance taken by the US.</w:t>
      </w:r>
    </w:p>
    <w:p w:rsidR="00A619F4" w:rsidRDefault="00A619F4" w:rsidP="00A619F4">
      <w:pPr>
        <w:pStyle w:val="BodyTextIndent2"/>
        <w:ind w:left="0" w:firstLine="0"/>
        <w:rPr>
          <w:rFonts w:ascii="Times New Roman" w:hAnsi="Times New Roman"/>
        </w:rPr>
      </w:pPr>
    </w:p>
    <w:p w:rsidR="00A619F4" w:rsidRDefault="00A619F4" w:rsidP="00A619F4">
      <w:pPr>
        <w:pStyle w:val="BodyTextIndent2"/>
        <w:ind w:left="0" w:firstLine="0"/>
        <w:rPr>
          <w:rFonts w:ascii="Times New Roman" w:hAnsi="Times New Roman"/>
        </w:rPr>
      </w:pPr>
    </w:p>
    <w:p w:rsidR="00A619F4" w:rsidRDefault="00A619F4" w:rsidP="00A619F4">
      <w:pPr>
        <w:pStyle w:val="BodyTextIndent2"/>
        <w:ind w:left="0" w:firstLine="0"/>
        <w:rPr>
          <w:rFonts w:ascii="Times New Roman" w:hAnsi="Times New Roman"/>
        </w:rPr>
      </w:pPr>
    </w:p>
    <w:p w:rsidR="00A619F4" w:rsidRDefault="00A619F4" w:rsidP="00A619F4">
      <w:pPr>
        <w:pStyle w:val="BodyTextIndent2"/>
        <w:ind w:left="0" w:firstLine="0"/>
        <w:rPr>
          <w:rFonts w:ascii="Times New Roman" w:hAnsi="Times New Roman"/>
        </w:rPr>
      </w:pPr>
    </w:p>
    <w:p w:rsidR="00A619F4" w:rsidRDefault="00A619F4" w:rsidP="00A619F4">
      <w:pPr>
        <w:pStyle w:val="BodyTextIndent2"/>
        <w:ind w:left="0" w:firstLine="0"/>
        <w:rPr>
          <w:rFonts w:ascii="Times New Roman" w:hAnsi="Times New Roman"/>
        </w:rPr>
      </w:pPr>
    </w:p>
    <w:p w:rsidR="00A619F4" w:rsidRDefault="00A619F4" w:rsidP="00A619F4">
      <w:pPr>
        <w:pStyle w:val="BodyTextIndent2"/>
        <w:ind w:left="0" w:firstLine="0"/>
        <w:rPr>
          <w:rFonts w:ascii="Times New Roman" w:hAnsi="Times New Roman"/>
        </w:rPr>
      </w:pPr>
    </w:p>
    <w:p w:rsidR="00A619F4" w:rsidRDefault="00A619F4" w:rsidP="00A619F4">
      <w:pPr>
        <w:pStyle w:val="BodyTextIndent2"/>
        <w:ind w:left="0" w:firstLine="0"/>
        <w:rPr>
          <w:rFonts w:ascii="Times New Roman" w:hAnsi="Times New Roman"/>
        </w:rPr>
      </w:pPr>
    </w:p>
    <w:p w:rsidR="00A619F4" w:rsidRDefault="00A619F4" w:rsidP="00A619F4">
      <w:pPr>
        <w:pStyle w:val="BodyTextIndent2"/>
        <w:ind w:left="0" w:firstLine="0"/>
        <w:rPr>
          <w:rFonts w:ascii="Times New Roman" w:hAnsi="Times New Roman"/>
        </w:rPr>
      </w:pPr>
    </w:p>
    <w:p w:rsidR="00A619F4" w:rsidRDefault="00A619F4" w:rsidP="00A619F4">
      <w:pPr>
        <w:pStyle w:val="BodyTextIndent2"/>
        <w:ind w:left="0" w:firstLine="0"/>
        <w:rPr>
          <w:rFonts w:ascii="Times New Roman" w:hAnsi="Times New Roman"/>
        </w:rPr>
      </w:pPr>
    </w:p>
    <w:p w:rsidR="00A619F4" w:rsidRDefault="00A619F4" w:rsidP="00A619F4">
      <w:pPr>
        <w:pStyle w:val="BodyTextIndent2"/>
        <w:ind w:left="0" w:firstLine="0"/>
        <w:rPr>
          <w:rFonts w:ascii="Times New Roman" w:hAnsi="Times New Roman"/>
        </w:rPr>
      </w:pPr>
    </w:p>
    <w:p w:rsidR="00A619F4" w:rsidRDefault="00A619F4" w:rsidP="00A619F4">
      <w:pPr>
        <w:pStyle w:val="BodyTextIndent2"/>
        <w:ind w:left="0" w:firstLine="0"/>
        <w:rPr>
          <w:rFonts w:ascii="Times New Roman" w:hAnsi="Times New Roman"/>
        </w:rPr>
      </w:pPr>
    </w:p>
    <w:p w:rsidR="00A619F4" w:rsidRDefault="00A619F4" w:rsidP="00A619F4">
      <w:pPr>
        <w:pStyle w:val="BodyTextIndent2"/>
        <w:ind w:left="0" w:firstLine="0"/>
        <w:rPr>
          <w:rFonts w:ascii="Times New Roman" w:hAnsi="Times New Roman"/>
        </w:rPr>
      </w:pPr>
    </w:p>
    <w:p w:rsidR="00A619F4" w:rsidRDefault="00A619F4" w:rsidP="00A619F4">
      <w:pPr>
        <w:pStyle w:val="BodyTextIndent2"/>
        <w:ind w:left="0" w:firstLine="0"/>
        <w:rPr>
          <w:rFonts w:ascii="Times New Roman" w:hAnsi="Times New Roman"/>
        </w:rPr>
      </w:pPr>
    </w:p>
    <w:p w:rsidR="00A619F4" w:rsidRDefault="00A619F4" w:rsidP="00A619F4">
      <w:pPr>
        <w:pStyle w:val="BodyTextIndent2"/>
        <w:ind w:left="0" w:firstLine="0"/>
        <w:rPr>
          <w:rFonts w:ascii="Times New Roman" w:hAnsi="Times New Roman"/>
        </w:rPr>
      </w:pPr>
    </w:p>
    <w:p w:rsidR="00A619F4" w:rsidRDefault="00A619F4" w:rsidP="00A619F4">
      <w:pPr>
        <w:pStyle w:val="BodyTextIndent2"/>
        <w:ind w:left="0" w:firstLine="0"/>
        <w:rPr>
          <w:rFonts w:ascii="Times New Roman" w:hAnsi="Times New Roman"/>
        </w:rPr>
      </w:pPr>
    </w:p>
    <w:p w:rsidR="00A619F4" w:rsidRDefault="00A619F4" w:rsidP="00A619F4">
      <w:pPr>
        <w:pStyle w:val="BodyTextIndent2"/>
        <w:ind w:left="0" w:firstLine="0"/>
        <w:rPr>
          <w:rFonts w:ascii="Times New Roman" w:hAnsi="Times New Roman"/>
        </w:rPr>
      </w:pPr>
    </w:p>
    <w:p w:rsidR="00A619F4" w:rsidRDefault="00A619F4" w:rsidP="00A619F4">
      <w:pPr>
        <w:pStyle w:val="BodyTextIndent2"/>
        <w:ind w:left="0" w:firstLine="0"/>
        <w:rPr>
          <w:rFonts w:ascii="Times New Roman" w:hAnsi="Times New Roman"/>
        </w:rPr>
      </w:pPr>
    </w:p>
    <w:p w:rsidR="00A619F4" w:rsidRDefault="00A619F4" w:rsidP="00A619F4">
      <w:pPr>
        <w:pStyle w:val="BodyTextIndent2"/>
        <w:ind w:left="0" w:firstLine="0"/>
        <w:rPr>
          <w:rFonts w:ascii="Times New Roman" w:hAnsi="Times New Roman"/>
        </w:rPr>
      </w:pPr>
    </w:p>
    <w:p w:rsidR="00A619F4" w:rsidRDefault="00A619F4" w:rsidP="00A619F4">
      <w:pPr>
        <w:pStyle w:val="BodyTextIndent2"/>
        <w:ind w:left="0" w:firstLine="0"/>
        <w:rPr>
          <w:rFonts w:ascii="Times New Roman" w:hAnsi="Times New Roman"/>
        </w:rPr>
      </w:pPr>
    </w:p>
    <w:p w:rsidR="00A619F4" w:rsidRDefault="00A619F4" w:rsidP="00A619F4">
      <w:pPr>
        <w:pStyle w:val="BodyTextIndent2"/>
        <w:ind w:left="0" w:firstLine="0"/>
        <w:rPr>
          <w:rFonts w:ascii="Times New Roman" w:hAnsi="Times New Roman"/>
        </w:rPr>
      </w:pPr>
    </w:p>
    <w:p w:rsidR="00A619F4" w:rsidRDefault="00A619F4" w:rsidP="00A619F4">
      <w:pPr>
        <w:pStyle w:val="BodyTextIndent2"/>
        <w:ind w:left="0" w:firstLine="0"/>
        <w:rPr>
          <w:rFonts w:ascii="Times New Roman" w:hAnsi="Times New Roman"/>
        </w:rPr>
      </w:pPr>
    </w:p>
    <w:p w:rsidR="00A619F4" w:rsidRDefault="00A619F4" w:rsidP="00A619F4">
      <w:pPr>
        <w:pStyle w:val="BodyTextIndent2"/>
        <w:ind w:left="0" w:firstLine="0"/>
        <w:rPr>
          <w:rFonts w:ascii="Times New Roman" w:hAnsi="Times New Roman"/>
        </w:rPr>
      </w:pPr>
    </w:p>
    <w:p w:rsidR="00A619F4" w:rsidRDefault="00A619F4" w:rsidP="00A619F4">
      <w:pPr>
        <w:pStyle w:val="BodyTextIndent2"/>
        <w:ind w:left="0" w:firstLine="0"/>
        <w:rPr>
          <w:rFonts w:ascii="Times New Roman" w:hAnsi="Times New Roman"/>
        </w:rPr>
      </w:pPr>
    </w:p>
    <w:p w:rsidR="00A619F4" w:rsidRDefault="00A619F4" w:rsidP="00A619F4">
      <w:pPr>
        <w:pStyle w:val="BodyTextIndent2"/>
        <w:ind w:left="0" w:firstLine="0"/>
        <w:rPr>
          <w:rFonts w:ascii="Times New Roman" w:hAnsi="Times New Roman"/>
        </w:rPr>
      </w:pPr>
    </w:p>
    <w:p w:rsidR="00A619F4" w:rsidRDefault="00A619F4" w:rsidP="00A619F4">
      <w:pPr>
        <w:pStyle w:val="BodyTextIndent2"/>
        <w:ind w:left="0" w:firstLine="0"/>
        <w:rPr>
          <w:rFonts w:ascii="Times New Roman" w:hAnsi="Times New Roman"/>
        </w:rPr>
      </w:pPr>
    </w:p>
    <w:p w:rsidR="00A619F4" w:rsidRDefault="00A619F4" w:rsidP="00A619F4">
      <w:pPr>
        <w:pStyle w:val="BodyTextIndent2"/>
        <w:ind w:left="0" w:firstLine="0"/>
        <w:rPr>
          <w:rFonts w:ascii="Times New Roman" w:hAnsi="Times New Roman"/>
        </w:rPr>
      </w:pPr>
    </w:p>
    <w:p w:rsidR="00A619F4" w:rsidRDefault="00A619F4" w:rsidP="00A619F4">
      <w:pPr>
        <w:pStyle w:val="BodyTextIndent2"/>
        <w:ind w:left="0" w:firstLine="0"/>
        <w:rPr>
          <w:rFonts w:ascii="Times New Roman" w:hAnsi="Times New Roman"/>
        </w:rPr>
      </w:pPr>
    </w:p>
    <w:p w:rsidR="00A619F4" w:rsidRDefault="00A619F4" w:rsidP="00A619F4">
      <w:pPr>
        <w:pStyle w:val="BodyTextIndent2"/>
        <w:ind w:left="0" w:firstLine="0"/>
        <w:rPr>
          <w:rFonts w:ascii="Times New Roman" w:hAnsi="Times New Roman"/>
        </w:rPr>
      </w:pPr>
    </w:p>
    <w:p w:rsidR="00A619F4" w:rsidRDefault="00A619F4" w:rsidP="00A619F4">
      <w:pPr>
        <w:pStyle w:val="BodyTextIndent2"/>
        <w:ind w:left="0" w:firstLine="0"/>
        <w:rPr>
          <w:rFonts w:ascii="Times New Roman" w:hAnsi="Times New Roman"/>
        </w:rPr>
      </w:pPr>
    </w:p>
    <w:p w:rsidR="00A619F4" w:rsidRDefault="00A619F4" w:rsidP="00A619F4">
      <w:pPr>
        <w:pStyle w:val="BodyTextIndent2"/>
        <w:ind w:left="0" w:firstLine="0"/>
        <w:rPr>
          <w:rFonts w:ascii="Times New Roman" w:hAnsi="Times New Roman"/>
        </w:rPr>
      </w:pPr>
    </w:p>
    <w:p w:rsidR="00A619F4" w:rsidRDefault="00A619F4" w:rsidP="00A619F4">
      <w:pPr>
        <w:pStyle w:val="BodyTextIndent2"/>
        <w:ind w:left="0" w:firstLine="0"/>
        <w:rPr>
          <w:rFonts w:ascii="Times New Roman" w:hAnsi="Times New Roman"/>
        </w:rPr>
      </w:pPr>
    </w:p>
    <w:p w:rsidR="00A619F4" w:rsidRDefault="00A619F4" w:rsidP="00A619F4">
      <w:pPr>
        <w:pStyle w:val="BodyTextIndent2"/>
        <w:ind w:left="0" w:firstLine="0"/>
        <w:rPr>
          <w:rFonts w:ascii="Times New Roman" w:hAnsi="Times New Roman"/>
        </w:rPr>
      </w:pPr>
    </w:p>
    <w:p w:rsidR="00A619F4" w:rsidRDefault="00A619F4" w:rsidP="00A619F4">
      <w:pPr>
        <w:pStyle w:val="BodyTextIndent2"/>
        <w:ind w:left="0" w:firstLine="0"/>
        <w:rPr>
          <w:rFonts w:ascii="Times New Roman" w:hAnsi="Times New Roman"/>
        </w:rPr>
      </w:pPr>
    </w:p>
    <w:p w:rsidR="00A619F4" w:rsidRDefault="00A619F4" w:rsidP="00A619F4">
      <w:pPr>
        <w:pStyle w:val="BodyTextIndent2"/>
        <w:ind w:left="0" w:firstLine="0"/>
        <w:rPr>
          <w:rFonts w:ascii="Times New Roman" w:hAnsi="Times New Roman"/>
        </w:rPr>
      </w:pPr>
    </w:p>
    <w:p w:rsidR="00A619F4" w:rsidRDefault="00A619F4" w:rsidP="00A619F4">
      <w:pPr>
        <w:pStyle w:val="BodyTextIndent2"/>
        <w:ind w:left="0" w:firstLine="0"/>
        <w:rPr>
          <w:rFonts w:ascii="Times New Roman" w:hAnsi="Times New Roman"/>
        </w:rPr>
      </w:pPr>
    </w:p>
    <w:p w:rsidR="00A619F4" w:rsidRDefault="00A619F4" w:rsidP="00A619F4">
      <w:pPr>
        <w:pStyle w:val="BodyTextIndent2"/>
        <w:ind w:left="0" w:firstLine="0"/>
        <w:rPr>
          <w:rFonts w:ascii="Times New Roman" w:hAnsi="Times New Roman"/>
        </w:rPr>
      </w:pPr>
    </w:p>
    <w:p w:rsidR="00A619F4" w:rsidRDefault="00A619F4" w:rsidP="00A619F4">
      <w:pPr>
        <w:pStyle w:val="BodyTextIndent2"/>
        <w:ind w:left="0" w:firstLine="0"/>
        <w:rPr>
          <w:rFonts w:ascii="Times New Roman" w:hAnsi="Times New Roman"/>
        </w:rPr>
      </w:pPr>
    </w:p>
    <w:p w:rsidR="00A619F4" w:rsidRDefault="00A619F4" w:rsidP="00A619F4">
      <w:pPr>
        <w:pStyle w:val="BodyTextIndent2"/>
        <w:ind w:left="0" w:firstLine="0"/>
        <w:rPr>
          <w:rFonts w:ascii="Times New Roman" w:hAnsi="Times New Roman"/>
        </w:rPr>
      </w:pPr>
    </w:p>
    <w:p w:rsidR="00A619F4" w:rsidRDefault="00A619F4" w:rsidP="00A619F4">
      <w:pPr>
        <w:pStyle w:val="BodyTextIndent2"/>
        <w:ind w:left="0" w:firstLine="0"/>
        <w:rPr>
          <w:rFonts w:ascii="Times New Roman" w:hAnsi="Times New Roman"/>
        </w:rPr>
      </w:pPr>
    </w:p>
    <w:p w:rsidR="00A619F4" w:rsidRDefault="00A619F4" w:rsidP="00A619F4">
      <w:pPr>
        <w:pStyle w:val="BodyTextIndent2"/>
        <w:ind w:left="0" w:firstLine="0"/>
        <w:rPr>
          <w:rFonts w:ascii="Times New Roman" w:hAnsi="Times New Roman"/>
        </w:rPr>
      </w:pPr>
    </w:p>
    <w:p w:rsidR="00A619F4" w:rsidRDefault="00A619F4" w:rsidP="00A619F4">
      <w:pPr>
        <w:pStyle w:val="BodyTextIndent2"/>
        <w:ind w:left="0" w:firstLine="0"/>
        <w:rPr>
          <w:rFonts w:ascii="Times New Roman" w:hAnsi="Times New Roman"/>
        </w:rPr>
      </w:pPr>
    </w:p>
    <w:p w:rsidR="00A619F4" w:rsidRDefault="00A619F4" w:rsidP="00A619F4">
      <w:pPr>
        <w:pStyle w:val="BodyTextIndent2"/>
        <w:ind w:left="0" w:firstLine="0"/>
        <w:rPr>
          <w:rFonts w:ascii="Times New Roman" w:hAnsi="Times New Roman"/>
        </w:rPr>
      </w:pPr>
    </w:p>
    <w:p w:rsidR="00A619F4" w:rsidRPr="00493C86" w:rsidRDefault="00A619F4" w:rsidP="00A619F4">
      <w:pPr>
        <w:pStyle w:val="BodyTextIndent2"/>
        <w:ind w:left="0" w:firstLine="0"/>
        <w:rPr>
          <w:rFonts w:ascii="Times New Roman" w:hAnsi="Times New Roman"/>
        </w:rPr>
      </w:pPr>
    </w:p>
    <w:sectPr w:rsidR="00A619F4" w:rsidRPr="00493C86" w:rsidSect="00D014C2">
      <w:footerReference w:type="even" r:id="rId9"/>
      <w:footerReference w:type="default" r:id="rId10"/>
      <w:headerReference w:type="first" r:id="rId11"/>
      <w:footerReference w:type="first" r:id="rId12"/>
      <w:pgSz w:w="11906" w:h="16838"/>
      <w:pgMar w:top="1247" w:right="1588" w:bottom="1247" w:left="1588" w:header="709" w:footer="709"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E8B" w:rsidRDefault="00D67E8B">
      <w:r>
        <w:separator/>
      </w:r>
    </w:p>
  </w:endnote>
  <w:endnote w:type="continuationSeparator" w:id="0">
    <w:p w:rsidR="00D67E8B" w:rsidRDefault="00D67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ill Sans MT">
    <w:panose1 w:val="020B0502020104020203"/>
    <w:charset w:val="00"/>
    <w:family w:val="auto"/>
    <w:pitch w:val="variable"/>
    <w:sig w:usb0="00000003" w:usb1="00000000" w:usb2="00000000" w:usb3="00000000" w:csb0="00000003" w:csb1="00000000"/>
  </w:font>
  <w:font w:name="Trebuchet MS">
    <w:panose1 w:val="020B0603020202020204"/>
    <w:charset w:val="00"/>
    <w:family w:val="auto"/>
    <w:pitch w:val="variable"/>
    <w:sig w:usb0="00000287" w:usb1="00000000" w:usb2="00000000" w:usb3="00000000" w:csb0="0000009F" w:csb1="00000000"/>
  </w:font>
  <w:font w:name="Garamond">
    <w:panose1 w:val="02020404030301010803"/>
    <w:charset w:val="00"/>
    <w:family w:val="auto"/>
    <w:pitch w:val="variable"/>
    <w:sig w:usb0="00000003" w:usb1="00000000" w:usb2="00000000" w:usb3="00000000" w:csb0="00000001" w:csb1="00000000"/>
  </w:font>
  <w:font w:name="Copperplate">
    <w:panose1 w:val="02000504000000020004"/>
    <w:charset w:val="00"/>
    <w:family w:val="auto"/>
    <w:pitch w:val="variable"/>
    <w:sig w:usb0="80000067" w:usb1="00000000" w:usb2="00000000" w:usb3="00000000" w:csb0="0000011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E84" w:rsidRDefault="001C2E84" w:rsidP="00D014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C2E84" w:rsidRDefault="001C2E8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E84" w:rsidRDefault="001C2E84" w:rsidP="00D014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7E8B">
      <w:rPr>
        <w:rStyle w:val="PageNumber"/>
        <w:noProof/>
      </w:rPr>
      <w:t>4</w:t>
    </w:r>
    <w:r>
      <w:rPr>
        <w:rStyle w:val="PageNumber"/>
      </w:rPr>
      <w:fldChar w:fldCharType="end"/>
    </w:r>
  </w:p>
  <w:p w:rsidR="001C2E84" w:rsidRDefault="00D67E8B" w:rsidP="004F0E7A">
    <w:pPr>
      <w:pStyle w:val="Footer"/>
      <w:jc w:val="right"/>
      <w:rPr>
        <w:smallCaps/>
        <w:sz w:val="18"/>
        <w:szCs w:val="18"/>
      </w:rPr>
    </w:pPr>
    <w:proofErr w:type="gramStart"/>
    <w:r>
      <w:rPr>
        <w:smallCaps/>
        <w:sz w:val="18"/>
        <w:szCs w:val="18"/>
      </w:rPr>
      <w:t>SSA  2013</w:t>
    </w:r>
    <w:proofErr w:type="gramEnd"/>
    <w:r>
      <w:rPr>
        <w:smallCaps/>
        <w:sz w:val="18"/>
        <w:szCs w:val="18"/>
      </w:rPr>
      <w:t xml:space="preserve"> Presentation</w:t>
    </w:r>
  </w:p>
  <w:p w:rsidR="00D67E8B" w:rsidRPr="004F0E7A" w:rsidRDefault="00D67E8B" w:rsidP="004F0E7A">
    <w:pPr>
      <w:pStyle w:val="Footer"/>
      <w:jc w:val="right"/>
      <w:rPr>
        <w:smallCaps/>
        <w:sz w:val="18"/>
        <w:szCs w:val="18"/>
      </w:rPr>
    </w:pPr>
    <w:r>
      <w:rPr>
        <w:smallCaps/>
        <w:sz w:val="18"/>
        <w:szCs w:val="18"/>
      </w:rPr>
      <w:t>Legal Aspects of SSA, S Mosteshar</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E84" w:rsidRPr="00152445" w:rsidRDefault="001C2E84" w:rsidP="005C3AC4">
    <w:pPr>
      <w:widowControl w:val="0"/>
      <w:autoSpaceDE w:val="0"/>
      <w:autoSpaceDN w:val="0"/>
      <w:adjustRightInd w:val="0"/>
      <w:ind w:right="20"/>
      <w:jc w:val="center"/>
      <w:rPr>
        <w:b/>
        <w:smallCaps/>
        <w:color w:val="333333"/>
        <w:sz w:val="18"/>
        <w:szCs w:val="18"/>
      </w:rPr>
    </w:pPr>
    <w:r w:rsidRPr="00152445">
      <w:rPr>
        <w:b/>
        <w:smallCaps/>
        <w:color w:val="333333"/>
        <w:sz w:val="18"/>
        <w:szCs w:val="18"/>
      </w:rPr>
      <w:t xml:space="preserve">Charles </w:t>
    </w:r>
    <w:proofErr w:type="spellStart"/>
    <w:r w:rsidRPr="00152445">
      <w:rPr>
        <w:b/>
        <w:smallCaps/>
        <w:color w:val="333333"/>
        <w:sz w:val="18"/>
        <w:szCs w:val="18"/>
      </w:rPr>
      <w:t>Clore</w:t>
    </w:r>
    <w:proofErr w:type="spellEnd"/>
    <w:r w:rsidRPr="00152445">
      <w:rPr>
        <w:b/>
        <w:smallCaps/>
        <w:color w:val="333333"/>
        <w:sz w:val="18"/>
        <w:szCs w:val="18"/>
      </w:rPr>
      <w:t xml:space="preserve"> House   17 Russell Square   </w:t>
    </w:r>
    <w:proofErr w:type="gramStart"/>
    <w:r w:rsidRPr="00152445">
      <w:rPr>
        <w:b/>
        <w:smallCaps/>
        <w:color w:val="333333"/>
        <w:sz w:val="18"/>
        <w:szCs w:val="18"/>
      </w:rPr>
      <w:t>London  WC1B</w:t>
    </w:r>
    <w:proofErr w:type="gramEnd"/>
    <w:r w:rsidRPr="00152445">
      <w:rPr>
        <w:b/>
        <w:smallCaps/>
        <w:color w:val="333333"/>
        <w:sz w:val="18"/>
        <w:szCs w:val="18"/>
      </w:rPr>
      <w:t xml:space="preserve"> 5DR   England</w:t>
    </w:r>
  </w:p>
  <w:p w:rsidR="001C2E84" w:rsidRDefault="001C2E84" w:rsidP="005C3AC4">
    <w:pPr>
      <w:pStyle w:val="Footer"/>
      <w:jc w:val="center"/>
      <w:rPr>
        <w:smallCaps/>
        <w:color w:val="333333"/>
        <w:sz w:val="16"/>
        <w:szCs w:val="16"/>
      </w:rPr>
    </w:pPr>
    <w:r w:rsidRPr="00D9086A">
      <w:rPr>
        <w:b/>
        <w:smallCaps/>
        <w:color w:val="333333"/>
        <w:sz w:val="16"/>
        <w:szCs w:val="16"/>
      </w:rPr>
      <w:t>+44 (</w:t>
    </w:r>
    <w:proofErr w:type="gramStart"/>
    <w:r w:rsidRPr="00D9086A">
      <w:rPr>
        <w:b/>
        <w:smallCaps/>
        <w:color w:val="333333"/>
        <w:sz w:val="16"/>
        <w:szCs w:val="16"/>
      </w:rPr>
      <w:t>0)207</w:t>
    </w:r>
    <w:proofErr w:type="gramEnd"/>
    <w:r w:rsidRPr="00D9086A">
      <w:rPr>
        <w:b/>
        <w:smallCaps/>
        <w:color w:val="333333"/>
        <w:sz w:val="16"/>
        <w:szCs w:val="16"/>
      </w:rPr>
      <w:t xml:space="preserve"> 402 2010</w:t>
    </w:r>
    <w:r w:rsidRPr="00152445">
      <w:rPr>
        <w:b/>
        <w:smallCaps/>
        <w:color w:val="333333"/>
        <w:sz w:val="18"/>
        <w:szCs w:val="18"/>
      </w:rPr>
      <w:t xml:space="preserve">   www.space-institute.org</w:t>
    </w:r>
  </w:p>
  <w:p w:rsidR="001C2E84" w:rsidRDefault="001C2E84" w:rsidP="005C3AC4">
    <w:pPr>
      <w:pStyle w:val="Footer"/>
      <w:jc w:val="center"/>
      <w:rPr>
        <w:rFonts w:ascii="Copperplate" w:hAnsi="Copperplate"/>
        <w:smallCaps/>
        <w:color w:val="333333"/>
        <w:sz w:val="14"/>
        <w:szCs w:val="14"/>
      </w:rPr>
    </w:pPr>
    <w:r>
      <w:rPr>
        <w:rFonts w:ascii="Copperplate" w:hAnsi="Copperplate"/>
        <w:smallCaps/>
        <w:color w:val="333333"/>
        <w:sz w:val="16"/>
        <w:szCs w:val="22"/>
      </w:rPr>
      <w:t xml:space="preserve">limited company registered in england &amp; wales no: </w:t>
    </w:r>
    <w:r w:rsidRPr="002568DF">
      <w:rPr>
        <w:rFonts w:ascii="Copperplate" w:hAnsi="Copperplate"/>
        <w:smallCaps/>
        <w:color w:val="333333"/>
        <w:sz w:val="14"/>
        <w:szCs w:val="14"/>
      </w:rPr>
      <w:t>7034158</w:t>
    </w:r>
    <w:r>
      <w:rPr>
        <w:rFonts w:ascii="Copperplate" w:hAnsi="Copperplate"/>
        <w:smallCaps/>
        <w:color w:val="333333"/>
        <w:sz w:val="16"/>
        <w:szCs w:val="22"/>
      </w:rPr>
      <w:t xml:space="preserve"> charity no: </w:t>
    </w:r>
    <w:r w:rsidRPr="002568DF">
      <w:rPr>
        <w:rFonts w:ascii="Copperplate" w:hAnsi="Copperplate"/>
        <w:smallCaps/>
        <w:color w:val="333333"/>
        <w:sz w:val="14"/>
        <w:szCs w:val="14"/>
      </w:rPr>
      <w:t>1137838</w:t>
    </w:r>
  </w:p>
  <w:p w:rsidR="001C2E84" w:rsidRPr="00152445" w:rsidRDefault="001C2E84" w:rsidP="005C3AC4">
    <w:pPr>
      <w:pStyle w:val="Footer"/>
      <w:jc w:val="center"/>
      <w:rPr>
        <w:smallCaps/>
        <w:sz w:val="16"/>
        <w:szCs w:val="16"/>
      </w:rPr>
    </w:pPr>
  </w:p>
  <w:p w:rsidR="001C2E84" w:rsidRPr="00152445" w:rsidRDefault="001C2E84" w:rsidP="005C3AC4">
    <w:pPr>
      <w:pStyle w:val="Footer"/>
      <w:jc w:val="center"/>
      <w:rPr>
        <w:smallCaps/>
        <w:sz w:val="16"/>
        <w:szCs w:val="16"/>
      </w:rPr>
    </w:pPr>
    <w:r w:rsidRPr="00152445">
      <w:rPr>
        <w:smallCaps/>
        <w:sz w:val="16"/>
        <w:szCs w:val="16"/>
      </w:rPr>
      <w:t>associated with the institute of advanced legal studies</w:t>
    </w:r>
  </w:p>
  <w:p w:rsidR="001C2E84" w:rsidRPr="00152445" w:rsidRDefault="001C2E84" w:rsidP="005C3AC4">
    <w:pPr>
      <w:pStyle w:val="Footer"/>
      <w:jc w:val="center"/>
      <w:rPr>
        <w:smallCaps/>
        <w:sz w:val="16"/>
        <w:szCs w:val="16"/>
      </w:rPr>
    </w:pPr>
    <w:r w:rsidRPr="00152445">
      <w:rPr>
        <w:smallCaps/>
        <w:sz w:val="16"/>
        <w:szCs w:val="16"/>
      </w:rPr>
      <w:t>university of london</w:t>
    </w:r>
  </w:p>
  <w:p w:rsidR="001C2E84" w:rsidRPr="00152445" w:rsidRDefault="0078706F" w:rsidP="005C3AC4">
    <w:pPr>
      <w:pStyle w:val="Footer"/>
      <w:jc w:val="center"/>
    </w:pPr>
    <w:r>
      <w:rPr>
        <w:noProof/>
        <w:lang w:val="en-US"/>
      </w:rPr>
      <w:drawing>
        <wp:inline distT="0" distB="0" distL="0" distR="0">
          <wp:extent cx="368300" cy="3683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E8B" w:rsidRDefault="00D67E8B">
      <w:r>
        <w:separator/>
      </w:r>
    </w:p>
  </w:footnote>
  <w:footnote w:type="continuationSeparator" w:id="0">
    <w:p w:rsidR="00D67E8B" w:rsidRDefault="00D67E8B">
      <w:r>
        <w:continuationSeparator/>
      </w:r>
    </w:p>
  </w:footnote>
  <w:footnote w:id="1">
    <w:p w:rsidR="00D67E8B" w:rsidRPr="00BB6251" w:rsidRDefault="00D67E8B" w:rsidP="00D67E8B">
      <w:pPr>
        <w:widowControl w:val="0"/>
        <w:autoSpaceDE w:val="0"/>
        <w:autoSpaceDN w:val="0"/>
        <w:adjustRightInd w:val="0"/>
        <w:ind w:left="426" w:hanging="426"/>
        <w:jc w:val="both"/>
        <w:rPr>
          <w:rFonts w:ascii="Times" w:hAnsi="Times" w:cs="Times"/>
          <w:sz w:val="24"/>
          <w:lang w:val="en-US" w:eastAsia="ja-JP"/>
        </w:rPr>
      </w:pPr>
      <w:r w:rsidRPr="00BB6251">
        <w:rPr>
          <w:rStyle w:val="FootnoteReference"/>
          <w:sz w:val="24"/>
        </w:rPr>
        <w:footnoteRef/>
      </w:r>
      <w:r w:rsidRPr="00BB6251">
        <w:rPr>
          <w:sz w:val="18"/>
          <w:szCs w:val="18"/>
        </w:rPr>
        <w:tab/>
        <w:t xml:space="preserve">Space Situational Awareness - </w:t>
      </w:r>
      <w:proofErr w:type="spellStart"/>
      <w:proofErr w:type="gramStart"/>
      <w:r w:rsidRPr="00BB6251">
        <w:rPr>
          <w:sz w:val="18"/>
          <w:szCs w:val="18"/>
        </w:rPr>
        <w:t>cpi</w:t>
      </w:r>
      <w:proofErr w:type="spellEnd"/>
      <w:proofErr w:type="gramEnd"/>
      <w:r>
        <w:rPr>
          <w:sz w:val="18"/>
          <w:szCs w:val="18"/>
        </w:rPr>
        <w:t>;</w:t>
      </w:r>
      <w:r w:rsidRPr="00BB6251">
        <w:rPr>
          <w:sz w:val="18"/>
          <w:szCs w:val="18"/>
        </w:rPr>
        <w:t xml:space="preserve"> http://www.cpi.com/capabilities/ssa.html</w:t>
      </w:r>
      <w:r>
        <w:rPr>
          <w:sz w:val="18"/>
          <w:szCs w:val="18"/>
        </w:rPr>
        <w:t>.</w:t>
      </w:r>
    </w:p>
  </w:footnote>
  <w:footnote w:id="2">
    <w:p w:rsidR="00D67E8B" w:rsidRPr="00BB6251" w:rsidRDefault="00D67E8B" w:rsidP="00D67E8B">
      <w:pPr>
        <w:pStyle w:val="FootnoteText"/>
        <w:ind w:left="426" w:hanging="426"/>
        <w:jc w:val="both"/>
        <w:rPr>
          <w:lang w:val="en-US"/>
        </w:rPr>
      </w:pPr>
      <w:r w:rsidRPr="00BB6251">
        <w:rPr>
          <w:rStyle w:val="FootnoteReference"/>
        </w:rPr>
        <w:footnoteRef/>
      </w:r>
      <w:r w:rsidRPr="00BB6251">
        <w:rPr>
          <w:sz w:val="18"/>
          <w:szCs w:val="18"/>
        </w:rPr>
        <w:tab/>
      </w:r>
      <w:proofErr w:type="gramStart"/>
      <w:r w:rsidRPr="00BB6251">
        <w:rPr>
          <w:sz w:val="18"/>
          <w:szCs w:val="18"/>
        </w:rPr>
        <w:t>Scott Pace,</w:t>
      </w:r>
      <w:r w:rsidRPr="00BB6251">
        <w:t xml:space="preserve"> </w:t>
      </w:r>
      <w:r w:rsidRPr="00BB6251">
        <w:rPr>
          <w:i/>
          <w:sz w:val="18"/>
          <w:szCs w:val="18"/>
        </w:rPr>
        <w:t>A Day Without Space: Economic Security Ramifications</w:t>
      </w:r>
      <w:r w:rsidRPr="00BB6251">
        <w:rPr>
          <w:sz w:val="18"/>
          <w:szCs w:val="18"/>
        </w:rPr>
        <w:t xml:space="preserve">, George C Marshall Institute, 28 July 2009; </w:t>
      </w:r>
      <w:proofErr w:type="gramEnd"/>
      <w:r w:rsidRPr="00BB6251">
        <w:rPr>
          <w:sz w:val="18"/>
          <w:szCs w:val="18"/>
        </w:rPr>
        <w:t>http://www.marshall.org/pdf/materials/728.pdf</w:t>
      </w:r>
      <w:proofErr w:type="gramStart"/>
      <w:r w:rsidRPr="00BB6251">
        <w:rPr>
          <w:sz w:val="18"/>
          <w:szCs w:val="18"/>
        </w:rPr>
        <w:t>.</w:t>
      </w:r>
      <w:proofErr w:type="gramEnd"/>
    </w:p>
  </w:footnote>
  <w:footnote w:id="3">
    <w:p w:rsidR="00D67E8B" w:rsidRPr="00D63DBB" w:rsidRDefault="00D67E8B" w:rsidP="00D67E8B">
      <w:pPr>
        <w:pStyle w:val="FootnoteText"/>
        <w:ind w:left="426" w:hanging="426"/>
        <w:jc w:val="both"/>
        <w:rPr>
          <w:sz w:val="18"/>
          <w:szCs w:val="18"/>
        </w:rPr>
      </w:pPr>
      <w:r>
        <w:rPr>
          <w:rStyle w:val="FootnoteReference"/>
        </w:rPr>
        <w:footnoteRef/>
      </w:r>
      <w:r>
        <w:rPr>
          <w:sz w:val="18"/>
          <w:szCs w:val="18"/>
        </w:rPr>
        <w:tab/>
        <w:t>Estimates vary between 16,000 and 20,000.</w:t>
      </w:r>
    </w:p>
  </w:footnote>
  <w:footnote w:id="4">
    <w:p w:rsidR="00D67E8B" w:rsidRPr="00BB6251" w:rsidRDefault="00D67E8B" w:rsidP="00D67E8B">
      <w:pPr>
        <w:widowControl w:val="0"/>
        <w:autoSpaceDE w:val="0"/>
        <w:autoSpaceDN w:val="0"/>
        <w:adjustRightInd w:val="0"/>
        <w:ind w:left="426" w:hanging="426"/>
        <w:jc w:val="both"/>
        <w:rPr>
          <w:lang w:val="en-US"/>
        </w:rPr>
      </w:pPr>
      <w:r w:rsidRPr="00BB6251">
        <w:rPr>
          <w:rStyle w:val="FootnoteReference"/>
          <w:sz w:val="24"/>
        </w:rPr>
        <w:footnoteRef/>
      </w:r>
      <w:r w:rsidRPr="00BB6251">
        <w:tab/>
      </w:r>
      <w:r w:rsidRPr="00BB6251">
        <w:rPr>
          <w:rFonts w:cs="Arial"/>
          <w:sz w:val="18"/>
          <w:szCs w:val="18"/>
          <w:lang w:val="en-US" w:eastAsia="ja-JP"/>
        </w:rPr>
        <w:t xml:space="preserve">Amy </w:t>
      </w:r>
      <w:proofErr w:type="spellStart"/>
      <w:r w:rsidRPr="00BB6251">
        <w:rPr>
          <w:rFonts w:cs="Arial"/>
          <w:sz w:val="18"/>
          <w:szCs w:val="18"/>
          <w:lang w:val="en-US" w:eastAsia="ja-JP"/>
        </w:rPr>
        <w:t>Svitak</w:t>
      </w:r>
      <w:proofErr w:type="spellEnd"/>
      <w:r w:rsidRPr="00BB6251">
        <w:rPr>
          <w:rFonts w:cs="Arial"/>
          <w:sz w:val="18"/>
          <w:szCs w:val="18"/>
          <w:lang w:val="en-US" w:eastAsia="ja-JP"/>
        </w:rPr>
        <w:t>,</w:t>
      </w:r>
      <w:r w:rsidRPr="00BB6251">
        <w:rPr>
          <w:rFonts w:cs="Arial"/>
          <w:b/>
          <w:bCs/>
          <w:sz w:val="18"/>
          <w:szCs w:val="18"/>
          <w:lang w:val="en-US" w:eastAsia="ja-JP"/>
        </w:rPr>
        <w:t xml:space="preserve"> </w:t>
      </w:r>
      <w:r w:rsidRPr="00BB6251">
        <w:rPr>
          <w:rFonts w:cs="Arial"/>
          <w:bCs/>
          <w:i/>
          <w:sz w:val="18"/>
          <w:szCs w:val="18"/>
          <w:lang w:val="en-US" w:eastAsia="ja-JP"/>
        </w:rPr>
        <w:t>EU Aims For Space Situational Awareness Network</w:t>
      </w:r>
      <w:r w:rsidRPr="00BB6251">
        <w:rPr>
          <w:rFonts w:cs="Arial"/>
          <w:bCs/>
          <w:sz w:val="18"/>
          <w:szCs w:val="18"/>
          <w:lang w:val="en-US" w:eastAsia="ja-JP"/>
        </w:rPr>
        <w:t xml:space="preserve">, </w:t>
      </w:r>
      <w:r w:rsidRPr="00BB6251">
        <w:rPr>
          <w:rFonts w:cs="Arial"/>
          <w:sz w:val="18"/>
          <w:szCs w:val="18"/>
          <w:lang w:val="en-US" w:eastAsia="ja-JP"/>
        </w:rPr>
        <w:t xml:space="preserve">Aviation Week &amp; Space Technology, 5 August 2013; </w:t>
      </w:r>
      <w:r w:rsidRPr="00BB6251">
        <w:rPr>
          <w:rFonts w:cs="Lucida Grande"/>
          <w:sz w:val="18"/>
          <w:szCs w:val="18"/>
          <w:lang w:val="en-US" w:eastAsia="ja-JP"/>
        </w:rPr>
        <w:t>http://www.aviationweek.com/Article.aspx</w:t>
      </w:r>
      <w:proofErr w:type="gramStart"/>
      <w:r w:rsidRPr="00BB6251">
        <w:rPr>
          <w:rFonts w:cs="Lucida Grande"/>
          <w:sz w:val="18"/>
          <w:szCs w:val="18"/>
          <w:lang w:val="en-US" w:eastAsia="ja-JP"/>
        </w:rPr>
        <w:t>?id</w:t>
      </w:r>
      <w:proofErr w:type="gramEnd"/>
      <w:r w:rsidRPr="00BB6251">
        <w:rPr>
          <w:rFonts w:cs="Lucida Grande"/>
          <w:sz w:val="18"/>
          <w:szCs w:val="18"/>
          <w:lang w:val="en-US" w:eastAsia="ja-JP"/>
        </w:rPr>
        <w:t>=/article-xml/AW_08_05_2013_p27-603051.xml&amp;p=1.</w:t>
      </w:r>
    </w:p>
  </w:footnote>
  <w:footnote w:id="5">
    <w:p w:rsidR="00D67E8B" w:rsidRPr="00BB6251" w:rsidRDefault="00D67E8B" w:rsidP="00D67E8B">
      <w:pPr>
        <w:pStyle w:val="FootnoteText"/>
        <w:ind w:left="426" w:hanging="426"/>
        <w:jc w:val="both"/>
        <w:rPr>
          <w:sz w:val="18"/>
          <w:szCs w:val="18"/>
          <w:lang w:val="en-US"/>
        </w:rPr>
      </w:pPr>
      <w:r w:rsidRPr="00BB6251">
        <w:rPr>
          <w:rStyle w:val="FootnoteReference"/>
        </w:rPr>
        <w:footnoteRef/>
      </w:r>
      <w:r w:rsidRPr="00BB6251">
        <w:rPr>
          <w:sz w:val="18"/>
          <w:szCs w:val="18"/>
        </w:rPr>
        <w:tab/>
        <w:t xml:space="preserve">National Security Space Strategy, US Department of Defence and Office of Director of National Intelligence, January 2011, p.24 </w:t>
      </w:r>
      <w:proofErr w:type="gramStart"/>
      <w:r w:rsidRPr="00BB6251">
        <w:rPr>
          <w:i/>
          <w:sz w:val="18"/>
          <w:szCs w:val="18"/>
        </w:rPr>
        <w:t>et</w:t>
      </w:r>
      <w:proofErr w:type="gramEnd"/>
      <w:r w:rsidRPr="00BB6251">
        <w:rPr>
          <w:i/>
          <w:sz w:val="18"/>
          <w:szCs w:val="18"/>
        </w:rPr>
        <w:t xml:space="preserve"> seq</w:t>
      </w:r>
      <w:r w:rsidRPr="00BB6251">
        <w:rPr>
          <w:sz w:val="18"/>
          <w:szCs w:val="18"/>
        </w:rPr>
        <w:t>.</w:t>
      </w:r>
    </w:p>
  </w:footnote>
  <w:footnote w:id="6">
    <w:p w:rsidR="00D67E8B" w:rsidRPr="00BB6251" w:rsidRDefault="00D67E8B" w:rsidP="00D67E8B">
      <w:pPr>
        <w:pStyle w:val="FootnoteText"/>
        <w:ind w:left="426" w:hanging="426"/>
        <w:jc w:val="both"/>
        <w:rPr>
          <w:lang w:val="en-US"/>
        </w:rPr>
      </w:pPr>
      <w:r w:rsidRPr="00BB6251">
        <w:rPr>
          <w:rStyle w:val="FootnoteReference"/>
        </w:rPr>
        <w:footnoteRef/>
      </w:r>
      <w:r w:rsidRPr="00BB6251">
        <w:rPr>
          <w:sz w:val="18"/>
          <w:szCs w:val="18"/>
        </w:rPr>
        <w:tab/>
      </w:r>
      <w:proofErr w:type="gramStart"/>
      <w:r w:rsidRPr="00BB6251">
        <w:rPr>
          <w:sz w:val="18"/>
          <w:szCs w:val="18"/>
        </w:rPr>
        <w:t>Scott Pace,</w:t>
      </w:r>
      <w:r w:rsidRPr="00BB6251">
        <w:t xml:space="preserve"> </w:t>
      </w:r>
      <w:r w:rsidRPr="00BB6251">
        <w:rPr>
          <w:i/>
          <w:sz w:val="18"/>
          <w:szCs w:val="18"/>
        </w:rPr>
        <w:t>A Day Without Space: Economic Security Ramifications</w:t>
      </w:r>
      <w:r w:rsidRPr="00BB6251">
        <w:rPr>
          <w:sz w:val="18"/>
          <w:szCs w:val="18"/>
        </w:rPr>
        <w:t xml:space="preserve">, George C Marshall Institute, 28 July 2009; </w:t>
      </w:r>
      <w:proofErr w:type="gramEnd"/>
      <w:r w:rsidRPr="00BB6251">
        <w:rPr>
          <w:sz w:val="18"/>
          <w:szCs w:val="18"/>
        </w:rPr>
        <w:t>http://www.marshall.org/pdf/materials/728.pdf</w:t>
      </w:r>
      <w:proofErr w:type="gramStart"/>
      <w:r w:rsidRPr="00BB6251">
        <w:rPr>
          <w:sz w:val="18"/>
          <w:szCs w:val="18"/>
        </w:rPr>
        <w:t>.</w:t>
      </w:r>
      <w:proofErr w:type="gramEnd"/>
    </w:p>
  </w:footnote>
  <w:footnote w:id="7">
    <w:p w:rsidR="00D67E8B" w:rsidRPr="00BB6251" w:rsidRDefault="00D67E8B" w:rsidP="00D67E8B">
      <w:pPr>
        <w:widowControl w:val="0"/>
        <w:autoSpaceDE w:val="0"/>
        <w:autoSpaceDN w:val="0"/>
        <w:adjustRightInd w:val="0"/>
        <w:ind w:left="426" w:hanging="426"/>
        <w:jc w:val="both"/>
        <w:rPr>
          <w:rFonts w:ascii="Times" w:hAnsi="Times" w:cs="Times"/>
          <w:sz w:val="24"/>
          <w:lang w:val="en-US" w:eastAsia="ja-JP"/>
        </w:rPr>
      </w:pPr>
      <w:r w:rsidRPr="00BB6251">
        <w:rPr>
          <w:rStyle w:val="FootnoteReference"/>
          <w:sz w:val="24"/>
        </w:rPr>
        <w:footnoteRef/>
      </w:r>
      <w:r w:rsidRPr="00BB6251">
        <w:rPr>
          <w:sz w:val="18"/>
          <w:szCs w:val="18"/>
        </w:rPr>
        <w:tab/>
      </w:r>
      <w:r w:rsidRPr="00BB6251">
        <w:rPr>
          <w:rFonts w:cs="Times"/>
          <w:iCs/>
          <w:sz w:val="18"/>
          <w:szCs w:val="18"/>
          <w:lang w:val="en-US" w:eastAsia="ja-JP"/>
        </w:rPr>
        <w:t xml:space="preserve">C. Robert </w:t>
      </w:r>
      <w:proofErr w:type="spellStart"/>
      <w:r w:rsidRPr="00BB6251">
        <w:rPr>
          <w:rFonts w:cs="Times"/>
          <w:iCs/>
          <w:sz w:val="18"/>
          <w:szCs w:val="18"/>
          <w:lang w:val="en-US" w:eastAsia="ja-JP"/>
        </w:rPr>
        <w:t>Kehler</w:t>
      </w:r>
      <w:proofErr w:type="spellEnd"/>
      <w:r w:rsidRPr="00BB6251">
        <w:rPr>
          <w:rFonts w:cs="Times"/>
          <w:iCs/>
          <w:sz w:val="18"/>
          <w:szCs w:val="18"/>
          <w:lang w:val="en-US" w:eastAsia="ja-JP"/>
        </w:rPr>
        <w:t>, General, USAF,</w:t>
      </w:r>
      <w:r w:rsidRPr="00BB6251">
        <w:rPr>
          <w:rFonts w:cs="Times"/>
          <w:sz w:val="18"/>
          <w:szCs w:val="18"/>
          <w:lang w:val="en-US" w:eastAsia="ja-JP"/>
        </w:rPr>
        <w:t xml:space="preserve"> </w:t>
      </w:r>
      <w:r w:rsidRPr="00BB6251">
        <w:rPr>
          <w:rFonts w:cs="Gill Sans MT"/>
          <w:i/>
          <w:sz w:val="18"/>
          <w:szCs w:val="18"/>
          <w:lang w:val="en-US" w:eastAsia="ja-JP"/>
        </w:rPr>
        <w:t>Implementing the National Security Space Strategy</w:t>
      </w:r>
      <w:r w:rsidRPr="00BB6251">
        <w:rPr>
          <w:rFonts w:cs="Gill Sans MT"/>
          <w:sz w:val="18"/>
          <w:szCs w:val="18"/>
          <w:lang w:val="en-US" w:eastAsia="ja-JP"/>
        </w:rPr>
        <w:t xml:space="preserve">, </w:t>
      </w:r>
      <w:r w:rsidRPr="00BB6251">
        <w:rPr>
          <w:rFonts w:cs="Times"/>
          <w:sz w:val="18"/>
          <w:szCs w:val="18"/>
          <w:lang w:val="en-US" w:eastAsia="ja-JP"/>
        </w:rPr>
        <w:t>Strategic Studies Quarterly, Spring 2012</w:t>
      </w:r>
      <w:r>
        <w:rPr>
          <w:rFonts w:cs="Times"/>
          <w:sz w:val="18"/>
          <w:szCs w:val="18"/>
          <w:lang w:val="en-US" w:eastAsia="ja-JP"/>
        </w:rPr>
        <w:t>.</w:t>
      </w:r>
      <w:r w:rsidRPr="002E1E0D">
        <w:rPr>
          <w:sz w:val="18"/>
          <w:szCs w:val="18"/>
        </w:rPr>
        <w:t xml:space="preserve"> </w:t>
      </w:r>
      <w:r w:rsidRPr="00BB6251">
        <w:rPr>
          <w:sz w:val="18"/>
          <w:szCs w:val="18"/>
        </w:rPr>
        <w:t>For a fuller articulation of the US strategy see</w:t>
      </w:r>
      <w:r w:rsidRPr="00BB6251">
        <w:rPr>
          <w:rFonts w:cs="Times"/>
          <w:sz w:val="18"/>
          <w:szCs w:val="18"/>
          <w:lang w:val="en-US" w:eastAsia="ja-JP"/>
        </w:rPr>
        <w:t xml:space="preserve"> </w:t>
      </w:r>
      <w:r>
        <w:rPr>
          <w:rFonts w:cs="Times"/>
          <w:sz w:val="18"/>
          <w:szCs w:val="18"/>
          <w:lang w:val="en-US" w:eastAsia="ja-JP"/>
        </w:rPr>
        <w:t xml:space="preserve">this </w:t>
      </w:r>
      <w:r w:rsidRPr="00BB6251">
        <w:rPr>
          <w:rFonts w:cs="Times"/>
          <w:sz w:val="18"/>
          <w:szCs w:val="18"/>
          <w:lang w:val="en-US" w:eastAsia="ja-JP"/>
        </w:rPr>
        <w:t xml:space="preserve">and </w:t>
      </w:r>
      <w:r w:rsidRPr="00BB6251">
        <w:rPr>
          <w:rFonts w:cs="Arial"/>
          <w:sz w:val="18"/>
          <w:szCs w:val="18"/>
          <w:lang w:val="en-US" w:eastAsia="ja-JP"/>
        </w:rPr>
        <w:t xml:space="preserve">Cheryl </w:t>
      </w:r>
      <w:proofErr w:type="spellStart"/>
      <w:r w:rsidRPr="00BB6251">
        <w:rPr>
          <w:rFonts w:cs="Arial"/>
          <w:sz w:val="18"/>
          <w:szCs w:val="18"/>
          <w:lang w:val="en-US" w:eastAsia="ja-JP"/>
        </w:rPr>
        <w:t>Pellerin</w:t>
      </w:r>
      <w:proofErr w:type="spellEnd"/>
      <w:r w:rsidRPr="00BB6251">
        <w:rPr>
          <w:rFonts w:cs="Arial"/>
          <w:sz w:val="18"/>
          <w:szCs w:val="18"/>
          <w:lang w:val="en-US" w:eastAsia="ja-JP"/>
        </w:rPr>
        <w:t>,</w:t>
      </w:r>
      <w:r w:rsidRPr="00BB6251">
        <w:rPr>
          <w:rFonts w:cs="Arial"/>
          <w:b/>
          <w:bCs/>
          <w:szCs w:val="22"/>
          <w:lang w:val="en-US" w:eastAsia="ja-JP"/>
        </w:rPr>
        <w:t xml:space="preserve"> </w:t>
      </w:r>
      <w:r w:rsidRPr="00BB6251">
        <w:rPr>
          <w:rFonts w:cs="Arial"/>
          <w:bCs/>
          <w:i/>
          <w:sz w:val="18"/>
          <w:szCs w:val="18"/>
          <w:lang w:val="en-US" w:eastAsia="ja-JP"/>
        </w:rPr>
        <w:t xml:space="preserve">New </w:t>
      </w:r>
      <w:proofErr w:type="spellStart"/>
      <w:r w:rsidRPr="00BB6251">
        <w:rPr>
          <w:rFonts w:cs="Arial"/>
          <w:bCs/>
          <w:i/>
          <w:sz w:val="18"/>
          <w:szCs w:val="18"/>
          <w:lang w:val="en-US" w:eastAsia="ja-JP"/>
        </w:rPr>
        <w:t>D</w:t>
      </w:r>
      <w:r>
        <w:rPr>
          <w:rFonts w:cs="Arial"/>
          <w:bCs/>
          <w:i/>
          <w:sz w:val="18"/>
          <w:szCs w:val="18"/>
          <w:lang w:val="en-US" w:eastAsia="ja-JP"/>
        </w:rPr>
        <w:t>o</w:t>
      </w:r>
      <w:r w:rsidRPr="00BB6251">
        <w:rPr>
          <w:rFonts w:cs="Arial"/>
          <w:bCs/>
          <w:i/>
          <w:sz w:val="18"/>
          <w:szCs w:val="18"/>
          <w:lang w:val="en-US" w:eastAsia="ja-JP"/>
        </w:rPr>
        <w:t>D</w:t>
      </w:r>
      <w:proofErr w:type="spellEnd"/>
      <w:r w:rsidRPr="00BB6251">
        <w:rPr>
          <w:rFonts w:cs="Arial"/>
          <w:bCs/>
          <w:i/>
          <w:sz w:val="18"/>
          <w:szCs w:val="18"/>
          <w:lang w:val="en-US" w:eastAsia="ja-JP"/>
        </w:rPr>
        <w:t xml:space="preserve"> Space Policy Addresses Safety, Security, Access</w:t>
      </w:r>
      <w:r w:rsidRPr="00BB6251">
        <w:rPr>
          <w:rFonts w:cs="Arial"/>
          <w:bCs/>
          <w:sz w:val="18"/>
          <w:szCs w:val="18"/>
          <w:lang w:val="en-US" w:eastAsia="ja-JP"/>
        </w:rPr>
        <w:t xml:space="preserve">, </w:t>
      </w:r>
      <w:r w:rsidRPr="00BB6251">
        <w:rPr>
          <w:rFonts w:cs="Arial"/>
          <w:sz w:val="18"/>
          <w:szCs w:val="18"/>
          <w:lang w:val="en-US" w:eastAsia="ja-JP"/>
        </w:rPr>
        <w:t>American Forces Press Service, 21 November 2012.</w:t>
      </w:r>
      <w:bookmarkStart w:id="0" w:name="_GoBack"/>
    </w:p>
    <w:bookmarkEnd w:id="0"/>
  </w:footnote>
  <w:footnote w:id="8">
    <w:p w:rsidR="00D67E8B" w:rsidRPr="00BB6251" w:rsidRDefault="00D67E8B" w:rsidP="00D67E8B">
      <w:pPr>
        <w:pStyle w:val="FootnoteText"/>
        <w:ind w:left="426" w:hanging="426"/>
        <w:jc w:val="both"/>
        <w:rPr>
          <w:lang w:val="en-US"/>
        </w:rPr>
      </w:pPr>
      <w:r w:rsidRPr="00BB6251">
        <w:rPr>
          <w:rStyle w:val="FootnoteReference"/>
        </w:rPr>
        <w:footnoteRef/>
      </w:r>
      <w:r w:rsidRPr="00BB6251">
        <w:rPr>
          <w:sz w:val="18"/>
          <w:szCs w:val="18"/>
        </w:rPr>
        <w:tab/>
      </w:r>
      <w:r w:rsidRPr="00BB6251">
        <w:rPr>
          <w:rFonts w:cs="Arial"/>
          <w:sz w:val="18"/>
          <w:szCs w:val="18"/>
          <w:lang w:val="en-US" w:eastAsia="ja-JP"/>
        </w:rPr>
        <w:t>United States Strategic Command is a global command charged with conducting space situational awareness operations to ensure the safety and viability of space assets, including detecting, tracking, and cataloging space debris.</w:t>
      </w:r>
    </w:p>
  </w:footnote>
  <w:footnote w:id="9">
    <w:p w:rsidR="00D67E8B" w:rsidRPr="00BB6251" w:rsidRDefault="00D67E8B" w:rsidP="00D67E8B">
      <w:pPr>
        <w:pStyle w:val="FootnoteText"/>
        <w:ind w:left="426" w:hanging="426"/>
        <w:jc w:val="both"/>
        <w:rPr>
          <w:rFonts w:cs="Arial"/>
          <w:sz w:val="18"/>
          <w:szCs w:val="18"/>
          <w:lang w:val="en-US" w:eastAsia="ja-JP"/>
        </w:rPr>
      </w:pPr>
      <w:r w:rsidRPr="00BB6251">
        <w:rPr>
          <w:rStyle w:val="FootnoteReference"/>
        </w:rPr>
        <w:footnoteRef/>
      </w:r>
      <w:r w:rsidRPr="00BB6251">
        <w:rPr>
          <w:sz w:val="18"/>
          <w:szCs w:val="18"/>
        </w:rPr>
        <w:tab/>
      </w:r>
      <w:r w:rsidRPr="00BB6251">
        <w:rPr>
          <w:rFonts w:cs="Arial"/>
          <w:sz w:val="18"/>
          <w:szCs w:val="18"/>
          <w:lang w:val="en-US" w:eastAsia="ja-JP"/>
        </w:rPr>
        <w:t xml:space="preserve">In general, ground-based radar is used to search and detect space objects because of their ability to perform a wide-area search over a large field of view with a single beam. Ground-based telescopes are used for space object characterization because objects beyond LEO are almost always illuminated by the sun and can be observed as long as the telescope is in the dark. The existing GEO search capability is provided by three Ground-Based-Optical Deep Space Surveillance (GEODSS) Systems. One drawback of telescopes is they are limited by the weather. Another drawback for both ground-based radar and telescopes is they lose track of objects that move temporarily out view, resulting in information voids that must be filled. </w:t>
      </w:r>
    </w:p>
    <w:p w:rsidR="00D67E8B" w:rsidRPr="00BB6251" w:rsidRDefault="00D67E8B" w:rsidP="00D67E8B">
      <w:pPr>
        <w:pStyle w:val="FootnoteText"/>
        <w:ind w:left="426" w:hanging="426"/>
        <w:jc w:val="both"/>
        <w:rPr>
          <w:lang w:val="en-US"/>
        </w:rPr>
      </w:pPr>
      <w:r w:rsidRPr="00BB6251">
        <w:rPr>
          <w:rFonts w:cs="Arial"/>
          <w:sz w:val="18"/>
          <w:szCs w:val="18"/>
          <w:lang w:val="en-US" w:eastAsia="ja-JP"/>
        </w:rPr>
        <w:tab/>
        <w:t xml:space="preserve">See </w:t>
      </w:r>
      <w:r w:rsidRPr="00BB6251">
        <w:rPr>
          <w:rFonts w:cs="Trebuchet MS"/>
          <w:iCs/>
          <w:sz w:val="18"/>
          <w:szCs w:val="18"/>
          <w:lang w:val="en-US" w:eastAsia="ja-JP"/>
        </w:rPr>
        <w:t>Jeff Foust,</w:t>
      </w:r>
      <w:r w:rsidRPr="00BB6251">
        <w:rPr>
          <w:rFonts w:cs="Trebuchet MS"/>
          <w:bCs/>
          <w:sz w:val="18"/>
          <w:szCs w:val="18"/>
          <w:lang w:val="en-US" w:eastAsia="ja-JP"/>
        </w:rPr>
        <w:t xml:space="preserve"> </w:t>
      </w:r>
      <w:r w:rsidRPr="00BB6251">
        <w:rPr>
          <w:rFonts w:cs="Trebuchet MS"/>
          <w:bCs/>
          <w:i/>
          <w:sz w:val="18"/>
          <w:szCs w:val="18"/>
          <w:lang w:val="en-US" w:eastAsia="ja-JP"/>
        </w:rPr>
        <w:t>A new eye in the sky to keep an eye on the sky</w:t>
      </w:r>
      <w:r w:rsidRPr="00BB6251">
        <w:rPr>
          <w:rFonts w:cs="Trebuchet MS"/>
          <w:bCs/>
          <w:sz w:val="18"/>
          <w:szCs w:val="18"/>
          <w:lang w:val="en-US" w:eastAsia="ja-JP"/>
        </w:rPr>
        <w:t xml:space="preserve">, The Space Review, </w:t>
      </w:r>
      <w:r w:rsidRPr="00BB6251">
        <w:rPr>
          <w:rFonts w:cs="Trebuchet MS"/>
          <w:iCs/>
          <w:sz w:val="18"/>
          <w:szCs w:val="18"/>
          <w:lang w:val="en-US" w:eastAsia="ja-JP"/>
        </w:rPr>
        <w:t>May 10, 2010; http://www.thespacereview.com/article/1622/1.</w:t>
      </w:r>
    </w:p>
  </w:footnote>
  <w:footnote w:id="10">
    <w:p w:rsidR="00D67E8B" w:rsidRPr="00BB6251" w:rsidRDefault="00D67E8B" w:rsidP="00D67E8B">
      <w:pPr>
        <w:pStyle w:val="FootnoteText"/>
        <w:ind w:left="426" w:hanging="426"/>
        <w:jc w:val="both"/>
        <w:rPr>
          <w:lang w:val="en-US"/>
        </w:rPr>
      </w:pPr>
      <w:r w:rsidRPr="00BB6251">
        <w:rPr>
          <w:rStyle w:val="FootnoteReference"/>
        </w:rPr>
        <w:footnoteRef/>
      </w:r>
      <w:r w:rsidRPr="00BB6251">
        <w:rPr>
          <w:sz w:val="18"/>
          <w:szCs w:val="18"/>
        </w:rPr>
        <w:tab/>
        <w:t xml:space="preserve">Claudio </w:t>
      </w:r>
      <w:proofErr w:type="spellStart"/>
      <w:r w:rsidRPr="00BB6251">
        <w:rPr>
          <w:sz w:val="18"/>
          <w:szCs w:val="18"/>
        </w:rPr>
        <w:t>Portelli</w:t>
      </w:r>
      <w:proofErr w:type="spellEnd"/>
      <w:r w:rsidRPr="00BB6251">
        <w:rPr>
          <w:sz w:val="18"/>
          <w:szCs w:val="18"/>
        </w:rPr>
        <w:t xml:space="preserve">, </w:t>
      </w:r>
      <w:r w:rsidRPr="00BB6251">
        <w:rPr>
          <w:i/>
          <w:sz w:val="18"/>
          <w:szCs w:val="18"/>
        </w:rPr>
        <w:t>Space Debris: Growing Phenomenon</w:t>
      </w:r>
      <w:r w:rsidRPr="00BB6251">
        <w:rPr>
          <w:sz w:val="18"/>
          <w:szCs w:val="18"/>
        </w:rPr>
        <w:t>, 17th International Space Conference, Rome, May 2013.</w:t>
      </w:r>
    </w:p>
  </w:footnote>
  <w:footnote w:id="11">
    <w:p w:rsidR="00D67E8B" w:rsidRPr="00BB6251" w:rsidRDefault="00D67E8B" w:rsidP="00D67E8B">
      <w:pPr>
        <w:pStyle w:val="FootnoteText"/>
        <w:ind w:left="426" w:hanging="426"/>
        <w:jc w:val="both"/>
        <w:rPr>
          <w:lang w:val="en-US"/>
        </w:rPr>
      </w:pPr>
      <w:r w:rsidRPr="00BB6251">
        <w:rPr>
          <w:rStyle w:val="FootnoteReference"/>
        </w:rPr>
        <w:footnoteRef/>
      </w:r>
      <w:r w:rsidRPr="00BB6251">
        <w:tab/>
      </w:r>
      <w:r w:rsidRPr="00BB6251">
        <w:rPr>
          <w:rFonts w:cs="Tahoma"/>
          <w:bCs/>
          <w:sz w:val="18"/>
          <w:szCs w:val="18"/>
          <w:lang w:val="en-US" w:eastAsia="ja-JP"/>
        </w:rPr>
        <w:t>Peter B. de Selding</w:t>
      </w:r>
      <w:r w:rsidRPr="00BB6251">
        <w:rPr>
          <w:sz w:val="18"/>
          <w:szCs w:val="18"/>
        </w:rPr>
        <w:t xml:space="preserve">, </w:t>
      </w:r>
      <w:r w:rsidRPr="00BB6251">
        <w:rPr>
          <w:rFonts w:cs="Tahoma"/>
          <w:bCs/>
          <w:i/>
          <w:sz w:val="18"/>
          <w:szCs w:val="18"/>
          <w:lang w:val="en-US" w:eastAsia="ja-JP"/>
        </w:rPr>
        <w:t>European Union Presses Ahead with Proposal To Lessen Dependence on U.S. for Space Surveillance</w:t>
      </w:r>
      <w:r w:rsidRPr="00BB6251">
        <w:rPr>
          <w:rFonts w:cs="Tahoma"/>
          <w:bCs/>
          <w:sz w:val="18"/>
          <w:szCs w:val="18"/>
          <w:lang w:val="en-US" w:eastAsia="ja-JP"/>
        </w:rPr>
        <w:t>,</w:t>
      </w:r>
      <w:r w:rsidRPr="00BB6251">
        <w:rPr>
          <w:sz w:val="18"/>
          <w:szCs w:val="18"/>
        </w:rPr>
        <w:t xml:space="preserve"> Space News, </w:t>
      </w:r>
      <w:r w:rsidRPr="00BB6251">
        <w:rPr>
          <w:rFonts w:cs="Tahoma"/>
          <w:sz w:val="18"/>
          <w:szCs w:val="18"/>
          <w:lang w:val="en-US" w:eastAsia="ja-JP"/>
        </w:rPr>
        <w:t>Aug. 2, 2013.</w:t>
      </w:r>
    </w:p>
  </w:footnote>
  <w:footnote w:id="12">
    <w:p w:rsidR="00D67E8B" w:rsidRPr="00BB6251" w:rsidRDefault="00D67E8B" w:rsidP="00D67E8B">
      <w:pPr>
        <w:widowControl w:val="0"/>
        <w:autoSpaceDE w:val="0"/>
        <w:autoSpaceDN w:val="0"/>
        <w:adjustRightInd w:val="0"/>
        <w:ind w:left="426" w:hanging="426"/>
        <w:jc w:val="both"/>
        <w:rPr>
          <w:rFonts w:cs="Times"/>
          <w:sz w:val="18"/>
          <w:szCs w:val="18"/>
          <w:lang w:val="en-US" w:eastAsia="ja-JP"/>
        </w:rPr>
      </w:pPr>
      <w:r w:rsidRPr="00BB6251">
        <w:rPr>
          <w:rStyle w:val="FootnoteReference"/>
          <w:sz w:val="24"/>
        </w:rPr>
        <w:footnoteRef/>
      </w:r>
      <w:r w:rsidRPr="00BB6251">
        <w:rPr>
          <w:sz w:val="18"/>
          <w:szCs w:val="18"/>
        </w:rPr>
        <w:tab/>
      </w:r>
      <w:r w:rsidRPr="00BB6251">
        <w:rPr>
          <w:i/>
          <w:sz w:val="18"/>
          <w:szCs w:val="18"/>
        </w:rPr>
        <w:t>Proposal for a Decision of the European Parliament and of the Council Establishing a Space Surveillance and Tracking Support Programme</w:t>
      </w:r>
      <w:r w:rsidRPr="00BB6251">
        <w:rPr>
          <w:sz w:val="18"/>
          <w:szCs w:val="18"/>
        </w:rPr>
        <w:t xml:space="preserve">, COM (2013) final 107, 2013/0064 (COD), Brussels 28.2.2013. </w:t>
      </w:r>
    </w:p>
  </w:footnote>
  <w:footnote w:id="13">
    <w:p w:rsidR="00D67E8B" w:rsidRPr="00BB6251" w:rsidRDefault="00D67E8B" w:rsidP="00D67E8B">
      <w:pPr>
        <w:pStyle w:val="FootnoteText"/>
        <w:ind w:left="426" w:hanging="426"/>
        <w:jc w:val="both"/>
        <w:rPr>
          <w:sz w:val="18"/>
          <w:szCs w:val="18"/>
          <w:lang w:val="en-US"/>
        </w:rPr>
      </w:pPr>
      <w:r w:rsidRPr="00BB6251">
        <w:rPr>
          <w:rStyle w:val="FootnoteReference"/>
        </w:rPr>
        <w:footnoteRef/>
      </w:r>
      <w:r w:rsidRPr="00BB6251">
        <w:rPr>
          <w:sz w:val="18"/>
          <w:szCs w:val="18"/>
        </w:rPr>
        <w:tab/>
      </w:r>
      <w:proofErr w:type="gramStart"/>
      <w:r w:rsidRPr="00BB6251">
        <w:rPr>
          <w:sz w:val="18"/>
          <w:szCs w:val="18"/>
        </w:rPr>
        <w:t>COM (2013) final 107, Draft Decision, Art 3.</w:t>
      </w:r>
      <w:proofErr w:type="gramEnd"/>
    </w:p>
  </w:footnote>
  <w:footnote w:id="14">
    <w:p w:rsidR="00D67E8B" w:rsidRPr="00BB6251" w:rsidRDefault="00D67E8B" w:rsidP="00D67E8B">
      <w:pPr>
        <w:pStyle w:val="FootnoteText"/>
        <w:ind w:left="426" w:hanging="426"/>
        <w:jc w:val="both"/>
        <w:rPr>
          <w:sz w:val="18"/>
          <w:szCs w:val="18"/>
          <w:lang w:val="en-US"/>
        </w:rPr>
      </w:pPr>
      <w:r w:rsidRPr="00BB6251">
        <w:rPr>
          <w:rStyle w:val="FootnoteReference"/>
        </w:rPr>
        <w:footnoteRef/>
      </w:r>
      <w:r w:rsidRPr="00BB6251">
        <w:rPr>
          <w:sz w:val="18"/>
          <w:szCs w:val="18"/>
        </w:rPr>
        <w:tab/>
      </w:r>
      <w:proofErr w:type="gramStart"/>
      <w:r w:rsidRPr="00BB6251">
        <w:rPr>
          <w:sz w:val="18"/>
          <w:szCs w:val="18"/>
        </w:rPr>
        <w:t>COM (2013) final 107, Draft Decision, Art 4.</w:t>
      </w:r>
      <w:proofErr w:type="gramEnd"/>
    </w:p>
  </w:footnote>
  <w:footnote w:id="15">
    <w:p w:rsidR="00D67E8B" w:rsidRPr="00BB6251" w:rsidRDefault="00D67E8B" w:rsidP="00D67E8B">
      <w:pPr>
        <w:pStyle w:val="FootnoteText"/>
        <w:ind w:left="426" w:hanging="426"/>
        <w:jc w:val="both"/>
        <w:rPr>
          <w:sz w:val="18"/>
          <w:szCs w:val="18"/>
          <w:lang w:val="en-US"/>
        </w:rPr>
      </w:pPr>
      <w:r w:rsidRPr="00BB6251">
        <w:rPr>
          <w:rStyle w:val="FootnoteReference"/>
        </w:rPr>
        <w:footnoteRef/>
      </w:r>
      <w:r w:rsidRPr="00BB6251">
        <w:rPr>
          <w:sz w:val="18"/>
          <w:szCs w:val="18"/>
        </w:rPr>
        <w:tab/>
      </w:r>
      <w:proofErr w:type="gramStart"/>
      <w:r w:rsidRPr="00BB6251">
        <w:rPr>
          <w:sz w:val="18"/>
          <w:szCs w:val="18"/>
        </w:rPr>
        <w:t>COM (2013) final 107, Draft Decision, Art 2.</w:t>
      </w:r>
      <w:proofErr w:type="gramEnd"/>
    </w:p>
  </w:footnote>
  <w:footnote w:id="16">
    <w:p w:rsidR="00D67E8B" w:rsidRPr="00BB6251" w:rsidRDefault="00D67E8B" w:rsidP="00D67E8B">
      <w:pPr>
        <w:pStyle w:val="FootnoteText"/>
        <w:ind w:left="426" w:hanging="426"/>
        <w:jc w:val="both"/>
        <w:rPr>
          <w:sz w:val="18"/>
          <w:szCs w:val="18"/>
          <w:lang w:val="en-US"/>
        </w:rPr>
      </w:pPr>
      <w:r w:rsidRPr="00BB6251">
        <w:rPr>
          <w:rStyle w:val="FootnoteReference"/>
        </w:rPr>
        <w:footnoteRef/>
      </w:r>
      <w:r w:rsidRPr="00BB6251">
        <w:rPr>
          <w:sz w:val="18"/>
          <w:szCs w:val="18"/>
        </w:rPr>
        <w:tab/>
      </w:r>
      <w:proofErr w:type="gramStart"/>
      <w:r w:rsidRPr="00BB6251">
        <w:rPr>
          <w:sz w:val="18"/>
          <w:szCs w:val="18"/>
        </w:rPr>
        <w:t>IADC Space Debris Mitigation Guidelines, Sec 3.1.</w:t>
      </w:r>
      <w:proofErr w:type="gramEnd"/>
    </w:p>
  </w:footnote>
  <w:footnote w:id="17">
    <w:p w:rsidR="00D67E8B" w:rsidRPr="00BB6251" w:rsidRDefault="00D67E8B" w:rsidP="00D67E8B">
      <w:pPr>
        <w:pStyle w:val="FootnoteText"/>
        <w:ind w:left="426" w:hanging="426"/>
        <w:jc w:val="both"/>
        <w:rPr>
          <w:sz w:val="18"/>
          <w:szCs w:val="18"/>
          <w:lang w:val="en-US"/>
        </w:rPr>
      </w:pPr>
      <w:r w:rsidRPr="00BB6251">
        <w:rPr>
          <w:rStyle w:val="FootnoteReference"/>
        </w:rPr>
        <w:footnoteRef/>
      </w:r>
      <w:r w:rsidRPr="00BB6251">
        <w:rPr>
          <w:sz w:val="18"/>
          <w:szCs w:val="18"/>
        </w:rPr>
        <w:tab/>
        <w:t>IADC Space Debris Mitigation Guidelines, Sec 3.2.1.</w:t>
      </w:r>
    </w:p>
  </w:footnote>
  <w:footnote w:id="18">
    <w:p w:rsidR="00D67E8B" w:rsidRPr="00BB6251" w:rsidRDefault="00D67E8B" w:rsidP="00D67E8B">
      <w:pPr>
        <w:pStyle w:val="FootnoteText"/>
        <w:ind w:left="426" w:hanging="426"/>
        <w:jc w:val="both"/>
        <w:rPr>
          <w:sz w:val="18"/>
          <w:szCs w:val="18"/>
          <w:lang w:val="en-US"/>
        </w:rPr>
      </w:pPr>
      <w:r w:rsidRPr="00BB6251">
        <w:rPr>
          <w:rStyle w:val="FootnoteReference"/>
        </w:rPr>
        <w:footnoteRef/>
      </w:r>
      <w:r w:rsidRPr="00BB6251">
        <w:rPr>
          <w:sz w:val="18"/>
          <w:szCs w:val="18"/>
        </w:rPr>
        <w:tab/>
        <w:t>A company limited by guarantee, registered in the Isle of Man, number 123616C; see http://www.gov.im/ded/companies/companiesregistry.xml.</w:t>
      </w:r>
    </w:p>
  </w:footnote>
  <w:footnote w:id="19">
    <w:p w:rsidR="00D67E8B" w:rsidRPr="00BB6251" w:rsidRDefault="00D67E8B" w:rsidP="00D67E8B">
      <w:pPr>
        <w:pStyle w:val="FootnoteText"/>
        <w:ind w:left="426" w:hanging="426"/>
        <w:jc w:val="both"/>
        <w:rPr>
          <w:sz w:val="18"/>
          <w:szCs w:val="18"/>
          <w:lang w:val="en-US"/>
        </w:rPr>
      </w:pPr>
      <w:r w:rsidRPr="00BB6251">
        <w:rPr>
          <w:rStyle w:val="FootnoteReference"/>
        </w:rPr>
        <w:footnoteRef/>
      </w:r>
      <w:r w:rsidRPr="00BB6251">
        <w:rPr>
          <w:sz w:val="18"/>
          <w:szCs w:val="18"/>
        </w:rPr>
        <w:tab/>
      </w:r>
      <w:proofErr w:type="gramStart"/>
      <w:r w:rsidRPr="00BB6251">
        <w:rPr>
          <w:sz w:val="18"/>
          <w:szCs w:val="18"/>
        </w:rPr>
        <w:t>SDA Articles of Association, Arts 4-7.</w:t>
      </w:r>
      <w:proofErr w:type="gramEnd"/>
      <w:r w:rsidRPr="00BB6251">
        <w:rPr>
          <w:sz w:val="18"/>
          <w:szCs w:val="18"/>
        </w:rPr>
        <w:t xml:space="preserve"> All classes of members are required to "show genuine interest in the support of the Company's </w:t>
      </w:r>
      <w:r w:rsidRPr="00BB6251">
        <w:rPr>
          <w:i/>
          <w:sz w:val="18"/>
          <w:szCs w:val="18"/>
        </w:rPr>
        <w:t>objects</w:t>
      </w:r>
      <w:r w:rsidRPr="00BB6251">
        <w:rPr>
          <w:sz w:val="18"/>
          <w:szCs w:val="18"/>
        </w:rPr>
        <w:t>" (Emphasis added)</w:t>
      </w:r>
      <w:proofErr w:type="gramStart"/>
      <w:r w:rsidRPr="00BB6251">
        <w:rPr>
          <w:sz w:val="18"/>
          <w:szCs w:val="18"/>
        </w:rPr>
        <w:t>;</w:t>
      </w:r>
      <w:proofErr w:type="gramEnd"/>
      <w:r w:rsidRPr="00BB6251">
        <w:rPr>
          <w:sz w:val="18"/>
          <w:szCs w:val="18"/>
        </w:rPr>
        <w:t xml:space="preserve"> SDA Articles of Association, Arts 5.1(c), 6.1(b) and 7.1(a). However, there is no indication where the </w:t>
      </w:r>
      <w:r w:rsidRPr="00BB6251">
        <w:rPr>
          <w:i/>
          <w:sz w:val="18"/>
          <w:szCs w:val="18"/>
        </w:rPr>
        <w:t>objects</w:t>
      </w:r>
      <w:r w:rsidRPr="00BB6251">
        <w:rPr>
          <w:sz w:val="18"/>
          <w:szCs w:val="18"/>
        </w:rPr>
        <w:t xml:space="preserve"> of SDA are articulated. Indeed, Isle of Man company law does not allow for such articulation in the statutes of a company; IoM Companies Act 1931, Sec 2(1)(c), as amended by Companies Act 1986, abolishing the doctrine of </w:t>
      </w:r>
      <w:r w:rsidRPr="00BB6251">
        <w:rPr>
          <w:i/>
          <w:sz w:val="18"/>
          <w:szCs w:val="18"/>
        </w:rPr>
        <w:t>ultra vires</w:t>
      </w:r>
      <w:r w:rsidRPr="00BB6251">
        <w:rPr>
          <w:sz w:val="18"/>
          <w:szCs w:val="18"/>
        </w:rPr>
        <w:t>.</w:t>
      </w:r>
    </w:p>
  </w:footnote>
  <w:footnote w:id="20">
    <w:p w:rsidR="00D67E8B" w:rsidRPr="00BB6251" w:rsidRDefault="00D67E8B" w:rsidP="00D67E8B">
      <w:pPr>
        <w:pStyle w:val="FootnoteText"/>
        <w:ind w:left="426" w:hanging="426"/>
        <w:jc w:val="both"/>
        <w:rPr>
          <w:sz w:val="18"/>
          <w:szCs w:val="18"/>
          <w:lang w:val="en-US"/>
        </w:rPr>
      </w:pPr>
      <w:r w:rsidRPr="00BB6251">
        <w:rPr>
          <w:rStyle w:val="FootnoteReference"/>
        </w:rPr>
        <w:footnoteRef/>
      </w:r>
      <w:r w:rsidRPr="00BB6251">
        <w:rPr>
          <w:sz w:val="18"/>
          <w:szCs w:val="18"/>
        </w:rPr>
        <w:tab/>
        <w:t xml:space="preserve">Richard </w:t>
      </w:r>
      <w:proofErr w:type="spellStart"/>
      <w:r w:rsidRPr="00BB6251">
        <w:rPr>
          <w:sz w:val="18"/>
          <w:szCs w:val="18"/>
        </w:rPr>
        <w:t>DalBello</w:t>
      </w:r>
      <w:proofErr w:type="spellEnd"/>
      <w:r w:rsidRPr="00BB6251">
        <w:rPr>
          <w:sz w:val="18"/>
          <w:szCs w:val="18"/>
        </w:rPr>
        <w:t xml:space="preserve">, </w:t>
      </w:r>
      <w:r w:rsidRPr="00BB6251">
        <w:rPr>
          <w:i/>
          <w:sz w:val="18"/>
          <w:szCs w:val="18"/>
        </w:rPr>
        <w:t>Managing Risk in Space</w:t>
      </w:r>
      <w:r w:rsidRPr="00BB6251">
        <w:rPr>
          <w:sz w:val="18"/>
          <w:szCs w:val="18"/>
        </w:rPr>
        <w:t xml:space="preserve">, Public Interest Report, Winter 2011, </w:t>
      </w:r>
      <w:proofErr w:type="spellStart"/>
      <w:r w:rsidRPr="00BB6251">
        <w:rPr>
          <w:sz w:val="18"/>
          <w:szCs w:val="18"/>
        </w:rPr>
        <w:t>Vol</w:t>
      </w:r>
      <w:proofErr w:type="spellEnd"/>
      <w:r w:rsidRPr="00BB6251">
        <w:rPr>
          <w:sz w:val="18"/>
          <w:szCs w:val="18"/>
        </w:rPr>
        <w:t xml:space="preserve"> 64, No 4, p18 </w:t>
      </w:r>
      <w:r w:rsidRPr="00BB6251">
        <w:rPr>
          <w:i/>
          <w:sz w:val="18"/>
          <w:szCs w:val="18"/>
        </w:rPr>
        <w:t>et seq.</w:t>
      </w:r>
      <w:r w:rsidRPr="00BB6251">
        <w:rPr>
          <w:sz w:val="18"/>
          <w:szCs w:val="18"/>
        </w:rPr>
        <w:t>; https://www.fas.org/pubs/pir/2011winter/2011Winter-PIR-MemberPreview.pdf.</w:t>
      </w:r>
    </w:p>
  </w:footnote>
  <w:footnote w:id="21">
    <w:p w:rsidR="00D67E8B" w:rsidRPr="00135B98" w:rsidRDefault="00D67E8B" w:rsidP="00D67E8B">
      <w:pPr>
        <w:pStyle w:val="FootnoteText"/>
        <w:ind w:left="426" w:hanging="426"/>
        <w:rPr>
          <w:sz w:val="18"/>
          <w:szCs w:val="18"/>
          <w:lang w:val="en-US"/>
        </w:rPr>
      </w:pPr>
      <w:r>
        <w:rPr>
          <w:rStyle w:val="FootnoteReference"/>
        </w:rPr>
        <w:footnoteRef/>
      </w:r>
      <w:r>
        <w:rPr>
          <w:sz w:val="18"/>
          <w:szCs w:val="18"/>
        </w:rPr>
        <w:tab/>
        <w:t xml:space="preserve">In this context, </w:t>
      </w:r>
      <w:r w:rsidRPr="00135B98">
        <w:rPr>
          <w:i/>
          <w:sz w:val="18"/>
          <w:szCs w:val="18"/>
        </w:rPr>
        <w:t>conjunction</w:t>
      </w:r>
      <w:r>
        <w:rPr>
          <w:sz w:val="18"/>
          <w:szCs w:val="18"/>
        </w:rPr>
        <w:t xml:space="preserve"> occurs when two objects meet in time and space.</w:t>
      </w:r>
    </w:p>
  </w:footnote>
  <w:footnote w:id="22">
    <w:p w:rsidR="00D67E8B" w:rsidRPr="00BB6251" w:rsidRDefault="00D67E8B" w:rsidP="00D67E8B">
      <w:pPr>
        <w:pStyle w:val="FootnoteText"/>
        <w:ind w:left="426" w:hanging="426"/>
        <w:jc w:val="both"/>
        <w:rPr>
          <w:sz w:val="18"/>
          <w:szCs w:val="18"/>
          <w:lang w:val="en-US"/>
        </w:rPr>
      </w:pPr>
      <w:r w:rsidRPr="00BB6251">
        <w:rPr>
          <w:rStyle w:val="FootnoteReference"/>
        </w:rPr>
        <w:footnoteRef/>
      </w:r>
      <w:r w:rsidRPr="00BB6251">
        <w:rPr>
          <w:sz w:val="18"/>
          <w:szCs w:val="18"/>
        </w:rPr>
        <w:tab/>
      </w:r>
      <w:r>
        <w:rPr>
          <w:sz w:val="18"/>
          <w:szCs w:val="18"/>
        </w:rPr>
        <w:t>JSOC is</w:t>
      </w:r>
      <w:r w:rsidRPr="00BB6251">
        <w:rPr>
          <w:sz w:val="18"/>
          <w:szCs w:val="18"/>
        </w:rPr>
        <w:t xml:space="preserve"> based at Vandenberg Air Force Base in California. Using data received from the Space Surveillance Network, a worldwide network of 29 space surveillance sensors, the </w:t>
      </w:r>
      <w:proofErr w:type="spellStart"/>
      <w:r w:rsidRPr="00BB6251">
        <w:rPr>
          <w:sz w:val="18"/>
          <w:szCs w:val="18"/>
        </w:rPr>
        <w:t>JSpOC</w:t>
      </w:r>
      <w:proofErr w:type="spellEnd"/>
      <w:r w:rsidRPr="00BB6251">
        <w:rPr>
          <w:sz w:val="18"/>
          <w:szCs w:val="18"/>
        </w:rPr>
        <w:t xml:space="preserve"> members gather, compute and screen the information to alert satellite owners in the event of a possible conjunction; Heather R. Shaw, </w:t>
      </w:r>
      <w:proofErr w:type="spellStart"/>
      <w:r w:rsidRPr="00BB6251">
        <w:rPr>
          <w:i/>
          <w:sz w:val="18"/>
          <w:szCs w:val="18"/>
        </w:rPr>
        <w:t>JSpOC</w:t>
      </w:r>
      <w:proofErr w:type="spellEnd"/>
      <w:r w:rsidRPr="00BB6251">
        <w:rPr>
          <w:i/>
          <w:sz w:val="18"/>
          <w:szCs w:val="18"/>
        </w:rPr>
        <w:t xml:space="preserve"> Increases Tracking Capabilities</w:t>
      </w:r>
      <w:r w:rsidRPr="00BB6251">
        <w:rPr>
          <w:sz w:val="18"/>
          <w:szCs w:val="18"/>
        </w:rPr>
        <w:t>, Air Force Space Command, 1 September 2009; http://www.afspc.af.mil/news/story.asp?id=123165722.</w:t>
      </w:r>
    </w:p>
  </w:footnote>
  <w:footnote w:id="23">
    <w:p w:rsidR="00D67E8B" w:rsidRPr="00BB6251" w:rsidRDefault="00D67E8B" w:rsidP="00D67E8B">
      <w:pPr>
        <w:pStyle w:val="FootnoteText"/>
        <w:ind w:left="426" w:hanging="426"/>
        <w:jc w:val="both"/>
        <w:rPr>
          <w:sz w:val="18"/>
          <w:szCs w:val="18"/>
          <w:lang w:val="en-US"/>
        </w:rPr>
      </w:pPr>
      <w:r w:rsidRPr="00BB6251">
        <w:rPr>
          <w:rStyle w:val="FootnoteReference"/>
        </w:rPr>
        <w:footnoteRef/>
      </w:r>
      <w:r w:rsidRPr="00BB6251">
        <w:rPr>
          <w:sz w:val="18"/>
          <w:szCs w:val="18"/>
        </w:rPr>
        <w:tab/>
      </w:r>
      <w:r w:rsidRPr="00BB6251">
        <w:rPr>
          <w:i/>
          <w:sz w:val="18"/>
          <w:szCs w:val="18"/>
        </w:rPr>
        <w:t>NASA Uses SDA's Info to Keep Space Safe</w:t>
      </w:r>
      <w:r w:rsidRPr="00BB6251">
        <w:rPr>
          <w:sz w:val="18"/>
          <w:szCs w:val="18"/>
        </w:rPr>
        <w:t xml:space="preserve">, </w:t>
      </w:r>
      <w:proofErr w:type="spellStart"/>
      <w:r w:rsidRPr="00BB6251">
        <w:rPr>
          <w:sz w:val="18"/>
          <w:szCs w:val="18"/>
        </w:rPr>
        <w:t>SatNews</w:t>
      </w:r>
      <w:proofErr w:type="spellEnd"/>
      <w:r w:rsidRPr="00BB6251">
        <w:rPr>
          <w:sz w:val="18"/>
          <w:szCs w:val="18"/>
        </w:rPr>
        <w:t xml:space="preserve"> 17 September 2012; http://www.satnews.com/story.php?number=1358547640.</w:t>
      </w:r>
    </w:p>
  </w:footnote>
  <w:footnote w:id="24">
    <w:p w:rsidR="00D67E8B" w:rsidRPr="00BB6251" w:rsidRDefault="00D67E8B" w:rsidP="00D67E8B">
      <w:pPr>
        <w:pStyle w:val="FootnoteText"/>
        <w:ind w:left="426" w:hanging="426"/>
        <w:jc w:val="both"/>
        <w:rPr>
          <w:sz w:val="18"/>
          <w:szCs w:val="18"/>
          <w:lang w:val="en-US"/>
        </w:rPr>
      </w:pPr>
      <w:r w:rsidRPr="00BB6251">
        <w:rPr>
          <w:rStyle w:val="FootnoteReference"/>
        </w:rPr>
        <w:footnoteRef/>
      </w:r>
      <w:r w:rsidRPr="00BB6251">
        <w:rPr>
          <w:sz w:val="18"/>
          <w:szCs w:val="18"/>
        </w:rPr>
        <w:tab/>
      </w:r>
      <w:r w:rsidRPr="00BB6251">
        <w:rPr>
          <w:rFonts w:cs="Arial"/>
          <w:sz w:val="18"/>
          <w:szCs w:val="18"/>
          <w:lang w:val="en-US" w:eastAsia="ja-JP"/>
        </w:rPr>
        <w:t xml:space="preserve">Cheryl </w:t>
      </w:r>
      <w:proofErr w:type="spellStart"/>
      <w:r w:rsidRPr="00BB6251">
        <w:rPr>
          <w:rFonts w:cs="Arial"/>
          <w:sz w:val="18"/>
          <w:szCs w:val="18"/>
          <w:lang w:val="en-US" w:eastAsia="ja-JP"/>
        </w:rPr>
        <w:t>Pellerin</w:t>
      </w:r>
      <w:proofErr w:type="spellEnd"/>
      <w:r w:rsidRPr="00BB6251">
        <w:rPr>
          <w:rFonts w:cs="Arial"/>
          <w:sz w:val="18"/>
          <w:szCs w:val="18"/>
          <w:lang w:val="en-US" w:eastAsia="ja-JP"/>
        </w:rPr>
        <w:t>,</w:t>
      </w:r>
      <w:r w:rsidRPr="00BB6251">
        <w:rPr>
          <w:rFonts w:cs="Arial"/>
          <w:b/>
          <w:bCs/>
          <w:szCs w:val="22"/>
          <w:lang w:val="en-US" w:eastAsia="ja-JP"/>
        </w:rPr>
        <w:t xml:space="preserve"> </w:t>
      </w:r>
      <w:r w:rsidRPr="00BB6251">
        <w:rPr>
          <w:rFonts w:cs="Arial"/>
          <w:bCs/>
          <w:i/>
          <w:sz w:val="18"/>
          <w:szCs w:val="18"/>
          <w:lang w:val="en-US" w:eastAsia="ja-JP"/>
        </w:rPr>
        <w:t>New DOD Space Policy Addresses Safety, Security, Access</w:t>
      </w:r>
      <w:r w:rsidRPr="00BB6251">
        <w:rPr>
          <w:rFonts w:cs="Arial"/>
          <w:bCs/>
          <w:sz w:val="18"/>
          <w:szCs w:val="18"/>
          <w:lang w:val="en-US" w:eastAsia="ja-JP"/>
        </w:rPr>
        <w:t xml:space="preserve">, </w:t>
      </w:r>
      <w:r w:rsidRPr="00BB6251">
        <w:rPr>
          <w:rFonts w:cs="Arial"/>
          <w:sz w:val="18"/>
          <w:szCs w:val="18"/>
          <w:lang w:val="en-US" w:eastAsia="ja-JP"/>
        </w:rPr>
        <w:t>American Forces Press Service, 21 November 2012.</w:t>
      </w:r>
    </w:p>
  </w:footnote>
  <w:footnote w:id="25">
    <w:p w:rsidR="00D67E8B" w:rsidRPr="00BB6251" w:rsidRDefault="00D67E8B" w:rsidP="00D67E8B">
      <w:pPr>
        <w:pStyle w:val="FootnoteText"/>
        <w:ind w:left="426" w:hanging="426"/>
        <w:jc w:val="both"/>
        <w:rPr>
          <w:lang w:val="en-US"/>
        </w:rPr>
      </w:pPr>
      <w:r w:rsidRPr="00BB6251">
        <w:rPr>
          <w:rStyle w:val="FootnoteReference"/>
        </w:rPr>
        <w:footnoteRef/>
      </w:r>
      <w:r w:rsidRPr="00BB6251">
        <w:rPr>
          <w:sz w:val="18"/>
          <w:szCs w:val="18"/>
        </w:rPr>
        <w:tab/>
        <w:t xml:space="preserve">There was no greater challenge to satellites or launches right after 9/11, but insurance rates worldwide went up. Insurance rates for insuring art to be shipped from one museum to another, which impacted the delivery of art for exhibits, went up at that time, as did the insurance rates for satellites. </w:t>
      </w:r>
      <w:proofErr w:type="gramStart"/>
      <w:r w:rsidRPr="00BB6251">
        <w:rPr>
          <w:sz w:val="18"/>
          <w:szCs w:val="18"/>
        </w:rPr>
        <w:t xml:space="preserve">Andrea </w:t>
      </w:r>
      <w:proofErr w:type="spellStart"/>
      <w:r w:rsidRPr="00BB6251">
        <w:rPr>
          <w:sz w:val="18"/>
          <w:szCs w:val="18"/>
        </w:rPr>
        <w:t>Maleter</w:t>
      </w:r>
      <w:proofErr w:type="spellEnd"/>
      <w:r w:rsidRPr="00BB6251">
        <w:rPr>
          <w:sz w:val="18"/>
          <w:szCs w:val="18"/>
        </w:rPr>
        <w:t xml:space="preserve">, </w:t>
      </w:r>
      <w:r w:rsidRPr="00BB6251">
        <w:rPr>
          <w:i/>
          <w:sz w:val="18"/>
          <w:szCs w:val="18"/>
        </w:rPr>
        <w:t>A Day Without Space: Economic Security Ramifications</w:t>
      </w:r>
      <w:r w:rsidRPr="00BB6251">
        <w:rPr>
          <w:sz w:val="18"/>
          <w:szCs w:val="18"/>
        </w:rPr>
        <w:t xml:space="preserve">, George C Marshall Institute, 28 July 2009; </w:t>
      </w:r>
      <w:proofErr w:type="gramEnd"/>
      <w:r w:rsidRPr="00BB6251">
        <w:rPr>
          <w:sz w:val="18"/>
          <w:szCs w:val="18"/>
        </w:rPr>
        <w:t>http://www.marshall.org/pdf/materials/728.pdf</w:t>
      </w:r>
      <w:proofErr w:type="gramStart"/>
      <w:r w:rsidRPr="00BB6251">
        <w:rPr>
          <w:sz w:val="18"/>
          <w:szCs w:val="18"/>
        </w:rPr>
        <w:t>.</w:t>
      </w:r>
      <w:proofErr w:type="gramEnd"/>
    </w:p>
  </w:footnote>
  <w:footnote w:id="26">
    <w:p w:rsidR="00D67E8B" w:rsidRPr="00BB6251" w:rsidRDefault="00D67E8B" w:rsidP="00D67E8B">
      <w:pPr>
        <w:pStyle w:val="FootnoteText"/>
        <w:ind w:left="426" w:hanging="426"/>
        <w:jc w:val="both"/>
        <w:rPr>
          <w:sz w:val="18"/>
          <w:szCs w:val="18"/>
          <w:lang w:val="en-US"/>
        </w:rPr>
      </w:pPr>
      <w:r w:rsidRPr="00BB6251">
        <w:rPr>
          <w:rStyle w:val="FootnoteReference"/>
        </w:rPr>
        <w:footnoteRef/>
      </w:r>
      <w:r w:rsidRPr="00BB6251">
        <w:rPr>
          <w:sz w:val="18"/>
          <w:szCs w:val="18"/>
        </w:rPr>
        <w:tab/>
      </w:r>
      <w:proofErr w:type="gramStart"/>
      <w:r w:rsidRPr="00BB6251">
        <w:rPr>
          <w:sz w:val="18"/>
          <w:szCs w:val="18"/>
        </w:rPr>
        <w:t>Convention on International Liability for Damage Caused by Space Objects, Adopted by UN General Assembly on 29 November 2971 (Liability Convention), Art III.</w:t>
      </w:r>
      <w:proofErr w:type="gramEnd"/>
    </w:p>
  </w:footnote>
  <w:footnote w:id="27">
    <w:p w:rsidR="00D67E8B" w:rsidRPr="00BB6251" w:rsidRDefault="00D67E8B" w:rsidP="00D67E8B">
      <w:pPr>
        <w:pStyle w:val="FootnoteText"/>
        <w:ind w:left="426" w:hanging="426"/>
        <w:jc w:val="both"/>
        <w:rPr>
          <w:sz w:val="18"/>
          <w:szCs w:val="18"/>
          <w:lang w:val="en-US"/>
        </w:rPr>
      </w:pPr>
      <w:r w:rsidRPr="00BB6251">
        <w:rPr>
          <w:rStyle w:val="FootnoteReference"/>
        </w:rPr>
        <w:footnoteRef/>
      </w:r>
      <w:r w:rsidRPr="00BB6251">
        <w:rPr>
          <w:sz w:val="18"/>
          <w:szCs w:val="18"/>
        </w:rPr>
        <w:tab/>
        <w:t xml:space="preserve">Bin Cheng, </w:t>
      </w:r>
      <w:r w:rsidRPr="00BB6251">
        <w:rPr>
          <w:i/>
          <w:sz w:val="18"/>
          <w:szCs w:val="18"/>
        </w:rPr>
        <w:t>General Principles of Law as Applied by International Courts and Tribunals</w:t>
      </w:r>
      <w:r w:rsidRPr="00BB6251">
        <w:rPr>
          <w:sz w:val="18"/>
          <w:szCs w:val="18"/>
        </w:rPr>
        <w:t xml:space="preserve">; Grotius Classic Reprint Series, Cambridge University Press, 2006, </w:t>
      </w:r>
      <w:proofErr w:type="spellStart"/>
      <w:r w:rsidRPr="00BB6251">
        <w:rPr>
          <w:sz w:val="18"/>
          <w:szCs w:val="18"/>
        </w:rPr>
        <w:t>Vol</w:t>
      </w:r>
      <w:proofErr w:type="spellEnd"/>
      <w:r w:rsidRPr="00BB6251">
        <w:rPr>
          <w:sz w:val="18"/>
          <w:szCs w:val="18"/>
        </w:rPr>
        <w:t xml:space="preserve"> 2 at 225.</w:t>
      </w:r>
    </w:p>
  </w:footnote>
  <w:footnote w:id="28">
    <w:p w:rsidR="00D67E8B" w:rsidRPr="00BB6251" w:rsidRDefault="00D67E8B" w:rsidP="00D67E8B">
      <w:pPr>
        <w:pStyle w:val="FootnoteText"/>
        <w:ind w:left="426" w:hanging="426"/>
        <w:jc w:val="both"/>
        <w:rPr>
          <w:sz w:val="18"/>
          <w:szCs w:val="18"/>
          <w:lang w:val="en-US"/>
        </w:rPr>
      </w:pPr>
      <w:r w:rsidRPr="00BB6251">
        <w:rPr>
          <w:rStyle w:val="FootnoteReference"/>
        </w:rPr>
        <w:footnoteRef/>
      </w:r>
      <w:r w:rsidRPr="00BB6251">
        <w:rPr>
          <w:sz w:val="18"/>
          <w:szCs w:val="18"/>
        </w:rPr>
        <w:tab/>
        <w:t xml:space="preserve">Leslie Jane Smith and </w:t>
      </w:r>
      <w:proofErr w:type="spellStart"/>
      <w:r w:rsidRPr="00BB6251">
        <w:rPr>
          <w:sz w:val="18"/>
          <w:szCs w:val="18"/>
        </w:rPr>
        <w:t>Armel</w:t>
      </w:r>
      <w:proofErr w:type="spellEnd"/>
      <w:r w:rsidRPr="00BB6251">
        <w:rPr>
          <w:sz w:val="18"/>
          <w:szCs w:val="18"/>
        </w:rPr>
        <w:t xml:space="preserve"> </w:t>
      </w:r>
      <w:proofErr w:type="spellStart"/>
      <w:r w:rsidRPr="00BB6251">
        <w:rPr>
          <w:sz w:val="18"/>
          <w:szCs w:val="18"/>
        </w:rPr>
        <w:t>Kerrest</w:t>
      </w:r>
      <w:proofErr w:type="spellEnd"/>
      <w:r w:rsidRPr="00BB6251">
        <w:rPr>
          <w:sz w:val="18"/>
          <w:szCs w:val="18"/>
        </w:rPr>
        <w:t xml:space="preserve">, in </w:t>
      </w:r>
      <w:r w:rsidRPr="00BB6251">
        <w:rPr>
          <w:i/>
          <w:sz w:val="18"/>
          <w:szCs w:val="18"/>
        </w:rPr>
        <w:t>Cologne Commentary on Space Law</w:t>
      </w:r>
      <w:r w:rsidRPr="00BB6251">
        <w:rPr>
          <w:sz w:val="18"/>
          <w:szCs w:val="18"/>
        </w:rPr>
        <w:t xml:space="preserve">, </w:t>
      </w:r>
      <w:proofErr w:type="spellStart"/>
      <w:r w:rsidRPr="00BB6251">
        <w:rPr>
          <w:sz w:val="18"/>
          <w:szCs w:val="18"/>
        </w:rPr>
        <w:t>Eds</w:t>
      </w:r>
      <w:proofErr w:type="spellEnd"/>
      <w:r w:rsidRPr="00BB6251">
        <w:rPr>
          <w:sz w:val="18"/>
          <w:szCs w:val="18"/>
        </w:rPr>
        <w:t xml:space="preserve"> Stephan Hobe et al, </w:t>
      </w:r>
      <w:proofErr w:type="spellStart"/>
      <w:r w:rsidRPr="00BB6251">
        <w:rPr>
          <w:sz w:val="18"/>
          <w:szCs w:val="18"/>
        </w:rPr>
        <w:t>Vol</w:t>
      </w:r>
      <w:proofErr w:type="spellEnd"/>
      <w:r w:rsidRPr="00BB6251">
        <w:rPr>
          <w:sz w:val="18"/>
          <w:szCs w:val="18"/>
        </w:rPr>
        <w:t xml:space="preserve"> II, at 132 </w:t>
      </w:r>
      <w:r w:rsidRPr="00BB6251">
        <w:rPr>
          <w:i/>
          <w:sz w:val="18"/>
          <w:szCs w:val="18"/>
        </w:rPr>
        <w:t>et seq</w:t>
      </w:r>
      <w:r w:rsidRPr="00BB6251">
        <w:rPr>
          <w:sz w:val="18"/>
          <w:szCs w:val="18"/>
        </w:rPr>
        <w:t>.</w:t>
      </w:r>
      <w:r>
        <w:rPr>
          <w:sz w:val="18"/>
          <w:szCs w:val="18"/>
        </w:rPr>
        <w:t xml:space="preserve"> </w:t>
      </w:r>
      <w:r w:rsidRPr="006A51C1">
        <w:rPr>
          <w:sz w:val="18"/>
          <w:szCs w:val="18"/>
        </w:rPr>
        <w:t xml:space="preserve">The </w:t>
      </w:r>
      <w:proofErr w:type="gramStart"/>
      <w:r w:rsidRPr="006A51C1">
        <w:rPr>
          <w:sz w:val="18"/>
          <w:szCs w:val="18"/>
        </w:rPr>
        <w:t>circumstance</w:t>
      </w:r>
      <w:r>
        <w:rPr>
          <w:sz w:val="18"/>
          <w:szCs w:val="18"/>
        </w:rPr>
        <w:t>s</w:t>
      </w:r>
      <w:proofErr w:type="gramEnd"/>
      <w:r>
        <w:rPr>
          <w:sz w:val="18"/>
          <w:szCs w:val="18"/>
        </w:rPr>
        <w:t xml:space="preserve"> in which this</w:t>
      </w:r>
      <w:r w:rsidRPr="006A51C1">
        <w:rPr>
          <w:sz w:val="18"/>
          <w:szCs w:val="18"/>
        </w:rPr>
        <w:t xml:space="preserve"> may occur is a mixed question of fact a</w:t>
      </w:r>
      <w:r>
        <w:rPr>
          <w:sz w:val="18"/>
          <w:szCs w:val="18"/>
        </w:rPr>
        <w:t>nd law, beyond the scope of the present</w:t>
      </w:r>
      <w:r w:rsidRPr="006A51C1">
        <w:rPr>
          <w:sz w:val="18"/>
          <w:szCs w:val="18"/>
        </w:rPr>
        <w:t xml:space="preserve"> paper.</w:t>
      </w:r>
    </w:p>
  </w:footnote>
  <w:footnote w:id="29">
    <w:p w:rsidR="00D67E8B" w:rsidRPr="00135B98" w:rsidRDefault="00D67E8B" w:rsidP="00D67E8B">
      <w:pPr>
        <w:pStyle w:val="FootnoteText"/>
        <w:rPr>
          <w:lang w:val="en-US"/>
        </w:rPr>
      </w:pPr>
      <w:r>
        <w:rPr>
          <w:rStyle w:val="FootnoteReference"/>
        </w:rPr>
        <w:footnoteRef/>
      </w:r>
      <w:r>
        <w:t xml:space="preserve"> </w:t>
      </w:r>
      <w:r>
        <w:rPr>
          <w:lang w:val="en-US"/>
        </w:rPr>
        <w:t xml:space="preserve">    </w:t>
      </w:r>
      <w:r w:rsidRPr="00135B98">
        <w:rPr>
          <w:sz w:val="18"/>
          <w:szCs w:val="18"/>
        </w:rPr>
        <w:t>Guideline 5.4</w:t>
      </w:r>
      <w:r>
        <w:rPr>
          <w:lang w:val="en-US"/>
        </w:rPr>
        <w:t>.</w:t>
      </w:r>
    </w:p>
  </w:footnote>
  <w:footnote w:id="30">
    <w:p w:rsidR="00D67E8B" w:rsidRPr="00BB6251" w:rsidRDefault="00D67E8B" w:rsidP="00D67E8B">
      <w:pPr>
        <w:widowControl w:val="0"/>
        <w:autoSpaceDE w:val="0"/>
        <w:autoSpaceDN w:val="0"/>
        <w:adjustRightInd w:val="0"/>
        <w:ind w:left="426" w:hanging="426"/>
        <w:jc w:val="both"/>
        <w:rPr>
          <w:rFonts w:ascii="Times" w:hAnsi="Times" w:cs="Times"/>
          <w:sz w:val="24"/>
          <w:lang w:val="en-US" w:eastAsia="ja-JP"/>
        </w:rPr>
      </w:pPr>
      <w:r w:rsidRPr="00BB6251">
        <w:rPr>
          <w:rStyle w:val="FootnoteReference"/>
          <w:sz w:val="24"/>
        </w:rPr>
        <w:footnoteRef/>
      </w:r>
      <w:r w:rsidRPr="00BB6251">
        <w:rPr>
          <w:sz w:val="18"/>
          <w:szCs w:val="18"/>
        </w:rPr>
        <w:tab/>
      </w:r>
      <w:r w:rsidRPr="00BB6251">
        <w:rPr>
          <w:rFonts w:cs="Garamond"/>
          <w:sz w:val="18"/>
          <w:szCs w:val="18"/>
          <w:lang w:val="en-US" w:eastAsia="ja-JP"/>
        </w:rPr>
        <w:t>Space Fence, which consists of a line of VHF radars stretching across the southern United States.</w:t>
      </w:r>
    </w:p>
  </w:footnote>
  <w:footnote w:id="31">
    <w:p w:rsidR="00D67E8B" w:rsidRPr="00BB6251" w:rsidRDefault="00D67E8B" w:rsidP="00D67E8B">
      <w:pPr>
        <w:widowControl w:val="0"/>
        <w:autoSpaceDE w:val="0"/>
        <w:autoSpaceDN w:val="0"/>
        <w:adjustRightInd w:val="0"/>
        <w:ind w:left="426" w:hanging="426"/>
        <w:jc w:val="both"/>
        <w:rPr>
          <w:rFonts w:ascii="Times" w:hAnsi="Times" w:cs="Times"/>
          <w:sz w:val="24"/>
          <w:lang w:val="en-US" w:eastAsia="ja-JP"/>
        </w:rPr>
      </w:pPr>
      <w:r w:rsidRPr="00BB6251">
        <w:rPr>
          <w:rStyle w:val="FootnoteReference"/>
          <w:sz w:val="24"/>
        </w:rPr>
        <w:footnoteRef/>
      </w:r>
      <w:r w:rsidRPr="00BB6251">
        <w:rPr>
          <w:sz w:val="18"/>
          <w:szCs w:val="18"/>
        </w:rPr>
        <w:tab/>
        <w:t xml:space="preserve">Mike </w:t>
      </w:r>
      <w:proofErr w:type="spellStart"/>
      <w:r w:rsidRPr="00BB6251">
        <w:rPr>
          <w:rFonts w:cs="Garamond"/>
          <w:sz w:val="18"/>
          <w:szCs w:val="18"/>
          <w:lang w:val="en-US" w:eastAsia="ja-JP"/>
        </w:rPr>
        <w:t>Gruss</w:t>
      </w:r>
      <w:proofErr w:type="spellEnd"/>
      <w:r w:rsidRPr="00BB6251">
        <w:rPr>
          <w:rFonts w:cs="Garamond"/>
          <w:sz w:val="18"/>
          <w:szCs w:val="18"/>
          <w:lang w:val="en-US" w:eastAsia="ja-JP"/>
        </w:rPr>
        <w:t xml:space="preserve">, </w:t>
      </w:r>
      <w:r w:rsidRPr="00BB6251">
        <w:rPr>
          <w:rFonts w:cs="Garamond"/>
          <w:i/>
          <w:sz w:val="18"/>
          <w:szCs w:val="18"/>
          <w:lang w:val="en-US" w:eastAsia="ja-JP"/>
        </w:rPr>
        <w:t>Space Fence Shutdown Expected To Weaken Orbit Surveillance Network</w:t>
      </w:r>
      <w:r w:rsidRPr="00BB6251">
        <w:rPr>
          <w:rFonts w:cs="Garamond"/>
          <w:sz w:val="18"/>
          <w:szCs w:val="18"/>
          <w:lang w:val="en-US" w:eastAsia="ja-JP"/>
        </w:rPr>
        <w:t>, Space News, 9 August 2013.</w:t>
      </w:r>
    </w:p>
  </w:footnote>
  <w:footnote w:id="32">
    <w:p w:rsidR="00D67E8B" w:rsidRPr="00BB6251" w:rsidRDefault="00D67E8B" w:rsidP="00D67E8B">
      <w:pPr>
        <w:widowControl w:val="0"/>
        <w:autoSpaceDE w:val="0"/>
        <w:autoSpaceDN w:val="0"/>
        <w:adjustRightInd w:val="0"/>
        <w:ind w:left="426" w:hanging="426"/>
        <w:jc w:val="both"/>
        <w:rPr>
          <w:rFonts w:cs="Garamond"/>
          <w:sz w:val="18"/>
          <w:szCs w:val="18"/>
          <w:lang w:val="en-US" w:eastAsia="ja-JP"/>
        </w:rPr>
      </w:pPr>
      <w:r w:rsidRPr="00BB6251">
        <w:rPr>
          <w:rStyle w:val="FootnoteReference"/>
          <w:sz w:val="24"/>
        </w:rPr>
        <w:footnoteRef/>
      </w:r>
      <w:r w:rsidRPr="00BB6251">
        <w:rPr>
          <w:sz w:val="18"/>
          <w:szCs w:val="18"/>
        </w:rPr>
        <w:tab/>
        <w:t xml:space="preserve">Mike </w:t>
      </w:r>
      <w:proofErr w:type="spellStart"/>
      <w:r w:rsidRPr="00BB6251">
        <w:rPr>
          <w:sz w:val="18"/>
          <w:szCs w:val="18"/>
        </w:rPr>
        <w:t>Gruss</w:t>
      </w:r>
      <w:proofErr w:type="spellEnd"/>
      <w:r w:rsidRPr="00BB6251">
        <w:rPr>
          <w:rFonts w:cs="Garamond"/>
          <w:sz w:val="18"/>
          <w:szCs w:val="18"/>
          <w:lang w:val="en-US" w:eastAsia="ja-JP"/>
        </w:rPr>
        <w:t xml:space="preserve">, </w:t>
      </w:r>
      <w:r w:rsidRPr="00BB6251">
        <w:rPr>
          <w:rFonts w:cs="Garamond"/>
          <w:i/>
          <w:sz w:val="18"/>
          <w:szCs w:val="18"/>
          <w:lang w:val="en-US" w:eastAsia="ja-JP"/>
        </w:rPr>
        <w:t>With Current System Slated for Closure, Air Force Defers Next-gen Space Fence</w:t>
      </w:r>
      <w:r w:rsidRPr="00BB6251">
        <w:rPr>
          <w:rFonts w:cs="Garamond"/>
          <w:sz w:val="18"/>
          <w:szCs w:val="18"/>
          <w:lang w:val="en-US" w:eastAsia="ja-JP"/>
        </w:rPr>
        <w:t>, Space News 23 August 2013.</w:t>
      </w:r>
    </w:p>
  </w:footnote>
  <w:footnote w:id="33">
    <w:p w:rsidR="00D67E8B" w:rsidRPr="00BB6251" w:rsidRDefault="00D67E8B" w:rsidP="00D67E8B">
      <w:pPr>
        <w:pStyle w:val="FootnoteText"/>
        <w:ind w:left="426" w:hanging="426"/>
        <w:jc w:val="both"/>
        <w:rPr>
          <w:sz w:val="18"/>
          <w:szCs w:val="18"/>
          <w:lang w:val="en-US"/>
        </w:rPr>
      </w:pPr>
      <w:r w:rsidRPr="00BB6251">
        <w:rPr>
          <w:rStyle w:val="FootnoteReference"/>
        </w:rPr>
        <w:footnoteRef/>
      </w:r>
      <w:r w:rsidRPr="00BB6251">
        <w:rPr>
          <w:sz w:val="18"/>
          <w:szCs w:val="18"/>
        </w:rPr>
        <w:tab/>
        <w:t xml:space="preserve">Air University, </w:t>
      </w:r>
      <w:proofErr w:type="spellStart"/>
      <w:r w:rsidRPr="00BB6251">
        <w:rPr>
          <w:i/>
          <w:sz w:val="18"/>
          <w:szCs w:val="18"/>
        </w:rPr>
        <w:t>Spacecast</w:t>
      </w:r>
      <w:proofErr w:type="spellEnd"/>
      <w:r w:rsidRPr="00BB6251">
        <w:rPr>
          <w:i/>
          <w:sz w:val="18"/>
          <w:szCs w:val="18"/>
        </w:rPr>
        <w:t xml:space="preserve"> 2020</w:t>
      </w:r>
      <w:r w:rsidRPr="00BB6251">
        <w:rPr>
          <w:sz w:val="18"/>
          <w:szCs w:val="18"/>
        </w:rPr>
        <w:t>,</w:t>
      </w:r>
      <w:r w:rsidRPr="00BB6251">
        <w:rPr>
          <w:i/>
          <w:sz w:val="18"/>
          <w:szCs w:val="18"/>
        </w:rPr>
        <w:t xml:space="preserve"> </w:t>
      </w:r>
      <w:r w:rsidRPr="00BB6251">
        <w:rPr>
          <w:sz w:val="18"/>
          <w:szCs w:val="18"/>
        </w:rPr>
        <w:t>http://www.au.af.mil/Spacecast/Spacecast.html.</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E84" w:rsidRPr="009A4E15" w:rsidRDefault="001C2E84" w:rsidP="00892722">
    <w:pPr>
      <w:pStyle w:val="Header"/>
      <w:jc w:val="right"/>
      <w:rPr>
        <w:rFonts w:ascii="Copperplate" w:hAnsi="Copperplate"/>
        <w:sz w:val="48"/>
        <w:szCs w:val="48"/>
      </w:rPr>
    </w:pPr>
    <w:r w:rsidRPr="009A4E15">
      <w:rPr>
        <w:rFonts w:ascii="Copperplate" w:hAnsi="Copperplate"/>
        <w:sz w:val="48"/>
        <w:szCs w:val="48"/>
      </w:rPr>
      <w:t>ISPL</w:t>
    </w:r>
  </w:p>
  <w:p w:rsidR="001C2E84" w:rsidRPr="00892722" w:rsidRDefault="001C2E84" w:rsidP="00892722">
    <w:pPr>
      <w:pStyle w:val="Header"/>
      <w:jc w:val="right"/>
      <w:rPr>
        <w:rFonts w:ascii="Copperplate" w:hAnsi="Copperplate"/>
        <w:sz w:val="20"/>
        <w:szCs w:val="20"/>
      </w:rPr>
    </w:pPr>
    <w:proofErr w:type="spellStart"/>
    <w:proofErr w:type="gramStart"/>
    <w:r>
      <w:rPr>
        <w:rFonts w:ascii="Copperplate" w:hAnsi="Copperplate"/>
        <w:sz w:val="20"/>
        <w:szCs w:val="20"/>
      </w:rPr>
      <w:t>london</w:t>
    </w:r>
    <w:proofErr w:type="spellEnd"/>
    <w:proofErr w:type="gramEnd"/>
    <w:r>
      <w:rPr>
        <w:rFonts w:ascii="Copperplate" w:hAnsi="Copperplate"/>
        <w:sz w:val="20"/>
        <w:szCs w:val="20"/>
      </w:rPr>
      <w:t xml:space="preserve"> institute of space policy and law</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2AF9"/>
    <w:multiLevelType w:val="hybridMultilevel"/>
    <w:tmpl w:val="B46ADB2A"/>
    <w:lvl w:ilvl="0" w:tplc="169A5EE4">
      <w:numFmt w:val="bullet"/>
      <w:lvlText w:val=""/>
      <w:lvlJc w:val="left"/>
      <w:pPr>
        <w:tabs>
          <w:tab w:val="num" w:pos="1440"/>
        </w:tabs>
        <w:ind w:left="144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D879B9"/>
    <w:multiLevelType w:val="hybridMultilevel"/>
    <w:tmpl w:val="2730B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3224C6"/>
    <w:multiLevelType w:val="hybridMultilevel"/>
    <w:tmpl w:val="D9ECDB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9B90D87"/>
    <w:multiLevelType w:val="hybridMultilevel"/>
    <w:tmpl w:val="52A63232"/>
    <w:lvl w:ilvl="0" w:tplc="169A5EE4">
      <w:numFmt w:val="bullet"/>
      <w:lvlText w:val=""/>
      <w:lvlJc w:val="left"/>
      <w:pPr>
        <w:tabs>
          <w:tab w:val="num" w:pos="1440"/>
        </w:tabs>
        <w:ind w:left="144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F04C60"/>
    <w:multiLevelType w:val="hybridMultilevel"/>
    <w:tmpl w:val="65F87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BC474D2"/>
    <w:multiLevelType w:val="hybridMultilevel"/>
    <w:tmpl w:val="EC46B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843AC6"/>
    <w:multiLevelType w:val="hybridMultilevel"/>
    <w:tmpl w:val="216EC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F415B8"/>
    <w:multiLevelType w:val="hybridMultilevel"/>
    <w:tmpl w:val="2D86E572"/>
    <w:lvl w:ilvl="0" w:tplc="169A5EE4">
      <w:numFmt w:val="bullet"/>
      <w:lvlText w:val=""/>
      <w:lvlJc w:val="left"/>
      <w:pPr>
        <w:tabs>
          <w:tab w:val="num" w:pos="1440"/>
        </w:tabs>
        <w:ind w:left="1440" w:hanging="720"/>
      </w:pPr>
      <w:rPr>
        <w:rFonts w:ascii="Symbol" w:eastAsia="Times New Roman" w:hAnsi="Symbol"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76D3178"/>
    <w:multiLevelType w:val="hybridMultilevel"/>
    <w:tmpl w:val="133C5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F85909"/>
    <w:multiLevelType w:val="hybridMultilevel"/>
    <w:tmpl w:val="EC423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076C74"/>
    <w:multiLevelType w:val="multilevel"/>
    <w:tmpl w:val="CC8EDB14"/>
    <w:name w:val="0,604179"/>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nsid w:val="2FDC446B"/>
    <w:multiLevelType w:val="hybridMultilevel"/>
    <w:tmpl w:val="1F4E5EFA"/>
    <w:lvl w:ilvl="0" w:tplc="169A5EE4">
      <w:numFmt w:val="bullet"/>
      <w:lvlText w:val=""/>
      <w:lvlJc w:val="left"/>
      <w:pPr>
        <w:tabs>
          <w:tab w:val="num" w:pos="1440"/>
        </w:tabs>
        <w:ind w:left="144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00A24CF"/>
    <w:multiLevelType w:val="hybridMultilevel"/>
    <w:tmpl w:val="75547A9C"/>
    <w:lvl w:ilvl="0" w:tplc="6546C84A">
      <w:start w:val="7"/>
      <w:numFmt w:val="decimal"/>
      <w:lvlText w:val="%1"/>
      <w:lvlJc w:val="left"/>
      <w:pPr>
        <w:tabs>
          <w:tab w:val="num" w:pos="720"/>
        </w:tabs>
        <w:ind w:left="720" w:hanging="720"/>
      </w:pPr>
      <w:rPr>
        <w:rFonts w:hint="default"/>
      </w:rPr>
    </w:lvl>
    <w:lvl w:ilvl="1" w:tplc="169A5EE4">
      <w:numFmt w:val="bullet"/>
      <w:lvlText w:val=""/>
      <w:lvlJc w:val="left"/>
      <w:pPr>
        <w:tabs>
          <w:tab w:val="num" w:pos="1440"/>
        </w:tabs>
        <w:ind w:left="1440" w:hanging="720"/>
      </w:pPr>
      <w:rPr>
        <w:rFonts w:ascii="Symbol" w:eastAsia="Times New Roman" w:hAnsi="Symbol" w:cs="Times New Roman" w:hint="default"/>
      </w:rPr>
    </w:lvl>
    <w:lvl w:ilvl="2" w:tplc="9462F758">
      <w:start w:val="12"/>
      <w:numFmt w:val="decimal"/>
      <w:lvlText w:val="%3."/>
      <w:lvlJc w:val="left"/>
      <w:pPr>
        <w:tabs>
          <w:tab w:val="num" w:pos="1980"/>
        </w:tabs>
        <w:ind w:left="1980" w:hanging="360"/>
      </w:pPr>
      <w:rPr>
        <w:rFonts w:hint="default"/>
      </w:rPr>
    </w:lvl>
    <w:lvl w:ilvl="3" w:tplc="115A2822">
      <w:start w:val="9"/>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0A150C6"/>
    <w:multiLevelType w:val="multilevel"/>
    <w:tmpl w:val="F98037AA"/>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480"/>
        </w:tabs>
        <w:ind w:left="480" w:hanging="36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14">
    <w:nsid w:val="3BE16839"/>
    <w:multiLevelType w:val="hybridMultilevel"/>
    <w:tmpl w:val="5A38901A"/>
    <w:lvl w:ilvl="0" w:tplc="169A5EE4">
      <w:numFmt w:val="bullet"/>
      <w:lvlText w:val=""/>
      <w:lvlJc w:val="left"/>
      <w:pPr>
        <w:tabs>
          <w:tab w:val="num" w:pos="1440"/>
        </w:tabs>
        <w:ind w:left="144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D485636"/>
    <w:multiLevelType w:val="hybridMultilevel"/>
    <w:tmpl w:val="3CC488A8"/>
    <w:lvl w:ilvl="0" w:tplc="169A5EE4">
      <w:numFmt w:val="bullet"/>
      <w:lvlText w:val=""/>
      <w:lvlJc w:val="left"/>
      <w:pPr>
        <w:tabs>
          <w:tab w:val="num" w:pos="1440"/>
        </w:tabs>
        <w:ind w:left="144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8142614"/>
    <w:multiLevelType w:val="hybridMultilevel"/>
    <w:tmpl w:val="F2E85314"/>
    <w:lvl w:ilvl="0" w:tplc="169A5EE4">
      <w:numFmt w:val="bullet"/>
      <w:lvlText w:val=""/>
      <w:lvlJc w:val="left"/>
      <w:pPr>
        <w:tabs>
          <w:tab w:val="num" w:pos="1440"/>
        </w:tabs>
        <w:ind w:left="1440" w:hanging="720"/>
      </w:pPr>
      <w:rPr>
        <w:rFonts w:ascii="Symbol" w:eastAsia="Times New Roman" w:hAnsi="Symbol" w:cs="Times New Roman" w:hint="default"/>
      </w:rPr>
    </w:lvl>
    <w:lvl w:ilvl="1" w:tplc="169A5EE4">
      <w:numFmt w:val="bullet"/>
      <w:lvlText w:val=""/>
      <w:lvlJc w:val="left"/>
      <w:pPr>
        <w:tabs>
          <w:tab w:val="num" w:pos="2160"/>
        </w:tabs>
        <w:ind w:left="2160" w:hanging="720"/>
      </w:pPr>
      <w:rPr>
        <w:rFonts w:ascii="Symbol" w:eastAsia="Times New Roman" w:hAnsi="Symbol"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AC10734"/>
    <w:multiLevelType w:val="hybridMultilevel"/>
    <w:tmpl w:val="010C959E"/>
    <w:lvl w:ilvl="0" w:tplc="169A5EE4">
      <w:numFmt w:val="bullet"/>
      <w:lvlText w:val=""/>
      <w:lvlJc w:val="left"/>
      <w:pPr>
        <w:tabs>
          <w:tab w:val="num" w:pos="1440"/>
        </w:tabs>
        <w:ind w:left="144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6"/>
  </w:num>
  <w:num w:numId="3">
    <w:abstractNumId w:val="12"/>
  </w:num>
  <w:num w:numId="4">
    <w:abstractNumId w:val="0"/>
  </w:num>
  <w:num w:numId="5">
    <w:abstractNumId w:val="14"/>
  </w:num>
  <w:num w:numId="6">
    <w:abstractNumId w:val="11"/>
  </w:num>
  <w:num w:numId="7">
    <w:abstractNumId w:val="3"/>
  </w:num>
  <w:num w:numId="8">
    <w:abstractNumId w:val="15"/>
  </w:num>
  <w:num w:numId="9">
    <w:abstractNumId w:val="13"/>
  </w:num>
  <w:num w:numId="10">
    <w:abstractNumId w:val="17"/>
  </w:num>
  <w:num w:numId="11">
    <w:abstractNumId w:val="2"/>
  </w:num>
  <w:num w:numId="12">
    <w:abstractNumId w:val="5"/>
  </w:num>
  <w:num w:numId="13">
    <w:abstractNumId w:val="1"/>
  </w:num>
  <w:num w:numId="14">
    <w:abstractNumId w:val="4"/>
  </w:num>
  <w:num w:numId="15">
    <w:abstractNumId w:val="6"/>
  </w:num>
  <w:num w:numId="16">
    <w:abstractNumId w:val="8"/>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E8B"/>
    <w:rsid w:val="00006D8C"/>
    <w:rsid w:val="000627A9"/>
    <w:rsid w:val="00072BFA"/>
    <w:rsid w:val="00084796"/>
    <w:rsid w:val="000D255C"/>
    <w:rsid w:val="000F559D"/>
    <w:rsid w:val="00110716"/>
    <w:rsid w:val="00152445"/>
    <w:rsid w:val="00162749"/>
    <w:rsid w:val="00164530"/>
    <w:rsid w:val="00180C44"/>
    <w:rsid w:val="00181EC1"/>
    <w:rsid w:val="00186C0F"/>
    <w:rsid w:val="001C2E84"/>
    <w:rsid w:val="001D7BE9"/>
    <w:rsid w:val="00202FB3"/>
    <w:rsid w:val="002032D2"/>
    <w:rsid w:val="0024038D"/>
    <w:rsid w:val="002825A3"/>
    <w:rsid w:val="002854E0"/>
    <w:rsid w:val="00296C1B"/>
    <w:rsid w:val="002A1AC0"/>
    <w:rsid w:val="002A3715"/>
    <w:rsid w:val="002F430D"/>
    <w:rsid w:val="002F7AD2"/>
    <w:rsid w:val="003036E2"/>
    <w:rsid w:val="00307412"/>
    <w:rsid w:val="00343C0A"/>
    <w:rsid w:val="00375062"/>
    <w:rsid w:val="00377FB5"/>
    <w:rsid w:val="003D0308"/>
    <w:rsid w:val="003E4F2E"/>
    <w:rsid w:val="00426D93"/>
    <w:rsid w:val="0045665E"/>
    <w:rsid w:val="00492B6C"/>
    <w:rsid w:val="00493C86"/>
    <w:rsid w:val="004C66FA"/>
    <w:rsid w:val="004F0E7A"/>
    <w:rsid w:val="00522BDC"/>
    <w:rsid w:val="00556084"/>
    <w:rsid w:val="005822A5"/>
    <w:rsid w:val="005852CC"/>
    <w:rsid w:val="005B7A5B"/>
    <w:rsid w:val="005C3AC4"/>
    <w:rsid w:val="005C4D32"/>
    <w:rsid w:val="00600E9E"/>
    <w:rsid w:val="00615707"/>
    <w:rsid w:val="00626049"/>
    <w:rsid w:val="00637645"/>
    <w:rsid w:val="006421BA"/>
    <w:rsid w:val="006A4C56"/>
    <w:rsid w:val="006C3FE5"/>
    <w:rsid w:val="006E26C2"/>
    <w:rsid w:val="00710F0D"/>
    <w:rsid w:val="00732078"/>
    <w:rsid w:val="00744D23"/>
    <w:rsid w:val="00757738"/>
    <w:rsid w:val="00761146"/>
    <w:rsid w:val="00766039"/>
    <w:rsid w:val="007730B7"/>
    <w:rsid w:val="00774562"/>
    <w:rsid w:val="00780F06"/>
    <w:rsid w:val="00782762"/>
    <w:rsid w:val="007865F6"/>
    <w:rsid w:val="0078706F"/>
    <w:rsid w:val="007A4B1F"/>
    <w:rsid w:val="007B5EB0"/>
    <w:rsid w:val="007D6749"/>
    <w:rsid w:val="007E0F71"/>
    <w:rsid w:val="007E5195"/>
    <w:rsid w:val="007F2861"/>
    <w:rsid w:val="007F5D70"/>
    <w:rsid w:val="008158D0"/>
    <w:rsid w:val="00831BC7"/>
    <w:rsid w:val="00852FE5"/>
    <w:rsid w:val="008533FD"/>
    <w:rsid w:val="008701AC"/>
    <w:rsid w:val="0088182B"/>
    <w:rsid w:val="0088734E"/>
    <w:rsid w:val="00892722"/>
    <w:rsid w:val="008B5D5C"/>
    <w:rsid w:val="008C02E6"/>
    <w:rsid w:val="008C3A6B"/>
    <w:rsid w:val="0092308F"/>
    <w:rsid w:val="009244AF"/>
    <w:rsid w:val="009833B5"/>
    <w:rsid w:val="009A4E15"/>
    <w:rsid w:val="009B424B"/>
    <w:rsid w:val="00A070BF"/>
    <w:rsid w:val="00A2321E"/>
    <w:rsid w:val="00A430E1"/>
    <w:rsid w:val="00A619F4"/>
    <w:rsid w:val="00A8693C"/>
    <w:rsid w:val="00A9564A"/>
    <w:rsid w:val="00AB494F"/>
    <w:rsid w:val="00AF30E6"/>
    <w:rsid w:val="00B01286"/>
    <w:rsid w:val="00B278DC"/>
    <w:rsid w:val="00B3744D"/>
    <w:rsid w:val="00B81619"/>
    <w:rsid w:val="00BB3A61"/>
    <w:rsid w:val="00BD72F4"/>
    <w:rsid w:val="00BE4244"/>
    <w:rsid w:val="00C35569"/>
    <w:rsid w:val="00C7767D"/>
    <w:rsid w:val="00CD6D60"/>
    <w:rsid w:val="00CF3D8C"/>
    <w:rsid w:val="00D014C2"/>
    <w:rsid w:val="00D279B6"/>
    <w:rsid w:val="00D42A8B"/>
    <w:rsid w:val="00D67E8B"/>
    <w:rsid w:val="00D74220"/>
    <w:rsid w:val="00D961EA"/>
    <w:rsid w:val="00DB3C23"/>
    <w:rsid w:val="00DD71D8"/>
    <w:rsid w:val="00DE3FA4"/>
    <w:rsid w:val="00DE5176"/>
    <w:rsid w:val="00DE5801"/>
    <w:rsid w:val="00E20BF7"/>
    <w:rsid w:val="00E24EDC"/>
    <w:rsid w:val="00E47FAF"/>
    <w:rsid w:val="00E57889"/>
    <w:rsid w:val="00E610E5"/>
    <w:rsid w:val="00E63807"/>
    <w:rsid w:val="00EB16B9"/>
    <w:rsid w:val="00EC59A3"/>
    <w:rsid w:val="00F14723"/>
    <w:rsid w:val="00F920B2"/>
    <w:rsid w:val="00FA13A7"/>
    <w:rsid w:val="00FF3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E8B"/>
    <w:rPr>
      <w:rFonts w:eastAsiaTheme="minorEastAsia"/>
      <w:sz w:val="22"/>
      <w:szCs w:val="24"/>
      <w:lang w:val="en-GB"/>
    </w:rPr>
  </w:style>
  <w:style w:type="paragraph" w:styleId="Heading1">
    <w:name w:val="heading 1"/>
    <w:basedOn w:val="Normal"/>
    <w:qFormat/>
    <w:pPr>
      <w:keepNext/>
      <w:outlineLvl w:val="0"/>
    </w:pPr>
    <w:rPr>
      <w:rFonts w:ascii="Arial" w:eastAsia="Arial Unicode MS" w:hAnsi="Arial" w:cs="Arial"/>
      <w:caps/>
      <w:kern w:val="36"/>
    </w:rPr>
  </w:style>
  <w:style w:type="paragraph" w:styleId="Heading7">
    <w:name w:val="heading 7"/>
    <w:basedOn w:val="Normal"/>
    <w:next w:val="Normal"/>
    <w:qFormat/>
    <w:pPr>
      <w:spacing w:before="240" w:after="60"/>
      <w:outlineLvl w:val="6"/>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cs="Courier New"/>
      <w:sz w:val="20"/>
      <w:szCs w:val="20"/>
    </w:rPr>
  </w:style>
  <w:style w:type="character" w:styleId="Hyperlink">
    <w:name w:val="Hyperlink"/>
    <w:semiHidden/>
    <w:rPr>
      <w:color w:val="0000FF"/>
      <w:u w:val="single"/>
    </w:rPr>
  </w:style>
  <w:style w:type="paragraph" w:styleId="Footer">
    <w:name w:val="footer"/>
    <w:basedOn w:val="Normal"/>
    <w:link w:val="FooterChar"/>
    <w:semiHidden/>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pPr>
      <w:jc w:val="both"/>
    </w:pPr>
    <w:rPr>
      <w:rFonts w:ascii="Arial" w:hAnsi="Arial"/>
      <w:iCs/>
    </w:rPr>
  </w:style>
  <w:style w:type="paragraph" w:styleId="Title">
    <w:name w:val="Title"/>
    <w:basedOn w:val="Normal"/>
    <w:qFormat/>
    <w:pPr>
      <w:jc w:val="center"/>
    </w:pPr>
    <w:rPr>
      <w:rFonts w:ascii="Arial" w:eastAsia="Arial Unicode MS" w:hAnsi="Arial" w:cs="Arial"/>
      <w:b/>
      <w:bCs/>
    </w:rPr>
  </w:style>
  <w:style w:type="paragraph" w:styleId="BodyTextIndent">
    <w:name w:val="Body Text Indent"/>
    <w:basedOn w:val="Normal"/>
    <w:semiHidden/>
    <w:pPr>
      <w:ind w:left="1440" w:hanging="720"/>
    </w:pPr>
    <w:rPr>
      <w:rFonts w:ascii="Arial" w:eastAsia="Arial Unicode MS" w:hAnsi="Arial" w:cs="Arial"/>
    </w:rPr>
  </w:style>
  <w:style w:type="paragraph" w:styleId="BodyTextIndent2">
    <w:name w:val="Body Text Indent 2"/>
    <w:basedOn w:val="Normal"/>
    <w:semiHidden/>
    <w:pPr>
      <w:ind w:left="720" w:hanging="720"/>
    </w:pPr>
    <w:rPr>
      <w:rFonts w:ascii="Arial" w:eastAsia="Arial Unicode MS" w:hAnsi="Arial" w:cs="Arial"/>
    </w:rPr>
  </w:style>
  <w:style w:type="paragraph" w:styleId="DocumentMap">
    <w:name w:val="Document Map"/>
    <w:basedOn w:val="Normal"/>
    <w:semiHidden/>
    <w:pPr>
      <w:shd w:val="clear" w:color="auto" w:fill="000080"/>
    </w:pPr>
    <w:rPr>
      <w:rFonts w:ascii="Tahoma" w:hAnsi="Tahoma" w:cs="Tahoma"/>
      <w:sz w:val="20"/>
      <w:szCs w:val="20"/>
    </w:rPr>
  </w:style>
  <w:style w:type="paragraph" w:styleId="ListParagraph">
    <w:name w:val="List Paragraph"/>
    <w:basedOn w:val="Normal"/>
    <w:uiPriority w:val="34"/>
    <w:qFormat/>
    <w:rsid w:val="00A430E1"/>
    <w:pPr>
      <w:spacing w:after="200" w:line="276" w:lineRule="auto"/>
      <w:ind w:left="720"/>
      <w:contextualSpacing/>
    </w:pPr>
    <w:rPr>
      <w:rFonts w:ascii="Calibri" w:eastAsia="Calibri" w:hAnsi="Calibri"/>
      <w:szCs w:val="22"/>
    </w:rPr>
  </w:style>
  <w:style w:type="paragraph" w:styleId="Header">
    <w:name w:val="header"/>
    <w:basedOn w:val="Normal"/>
    <w:link w:val="HeaderChar"/>
    <w:uiPriority w:val="99"/>
    <w:unhideWhenUsed/>
    <w:rsid w:val="00892722"/>
    <w:pPr>
      <w:tabs>
        <w:tab w:val="center" w:pos="4320"/>
        <w:tab w:val="right" w:pos="8640"/>
      </w:tabs>
    </w:pPr>
  </w:style>
  <w:style w:type="character" w:customStyle="1" w:styleId="HeaderChar">
    <w:name w:val="Header Char"/>
    <w:link w:val="Header"/>
    <w:uiPriority w:val="99"/>
    <w:rsid w:val="00892722"/>
    <w:rPr>
      <w:sz w:val="24"/>
      <w:szCs w:val="24"/>
      <w:lang w:val="en-GB"/>
    </w:rPr>
  </w:style>
  <w:style w:type="character" w:customStyle="1" w:styleId="FooterChar">
    <w:name w:val="Footer Char"/>
    <w:link w:val="Footer"/>
    <w:semiHidden/>
    <w:rsid w:val="005C3AC4"/>
    <w:rPr>
      <w:sz w:val="24"/>
      <w:szCs w:val="24"/>
    </w:rPr>
  </w:style>
  <w:style w:type="paragraph" w:styleId="FootnoteText">
    <w:name w:val="footnote text"/>
    <w:basedOn w:val="Normal"/>
    <w:link w:val="FootnoteTextChar"/>
    <w:uiPriority w:val="99"/>
    <w:unhideWhenUsed/>
    <w:rsid w:val="00D67E8B"/>
    <w:rPr>
      <w:sz w:val="24"/>
    </w:rPr>
  </w:style>
  <w:style w:type="character" w:customStyle="1" w:styleId="FootnoteTextChar">
    <w:name w:val="Footnote Text Char"/>
    <w:basedOn w:val="DefaultParagraphFont"/>
    <w:link w:val="FootnoteText"/>
    <w:uiPriority w:val="99"/>
    <w:rsid w:val="00D67E8B"/>
    <w:rPr>
      <w:rFonts w:eastAsiaTheme="minorEastAsia"/>
      <w:sz w:val="24"/>
      <w:szCs w:val="24"/>
      <w:lang w:val="en-GB"/>
    </w:rPr>
  </w:style>
  <w:style w:type="character" w:styleId="FootnoteReference">
    <w:name w:val="footnote reference"/>
    <w:basedOn w:val="DefaultParagraphFont"/>
    <w:uiPriority w:val="99"/>
    <w:unhideWhenUsed/>
    <w:rsid w:val="00D67E8B"/>
    <w:rPr>
      <w:vertAlign w:val="superscript"/>
    </w:rPr>
  </w:style>
  <w:style w:type="paragraph" w:customStyle="1" w:styleId="Point0number">
    <w:name w:val="Point 0 (number)"/>
    <w:basedOn w:val="Normal"/>
    <w:rsid w:val="00D67E8B"/>
    <w:pPr>
      <w:numPr>
        <w:numId w:val="18"/>
      </w:numPr>
      <w:spacing w:before="120" w:after="120"/>
      <w:jc w:val="both"/>
    </w:pPr>
    <w:rPr>
      <w:rFonts w:eastAsia="Times New Roman"/>
      <w:sz w:val="24"/>
    </w:rPr>
  </w:style>
  <w:style w:type="paragraph" w:customStyle="1" w:styleId="Point1number">
    <w:name w:val="Point 1 (number)"/>
    <w:basedOn w:val="Normal"/>
    <w:rsid w:val="00D67E8B"/>
    <w:pPr>
      <w:numPr>
        <w:ilvl w:val="2"/>
        <w:numId w:val="18"/>
      </w:numPr>
      <w:spacing w:before="120" w:after="120"/>
      <w:jc w:val="both"/>
    </w:pPr>
    <w:rPr>
      <w:rFonts w:eastAsia="Times New Roman"/>
      <w:sz w:val="24"/>
    </w:rPr>
  </w:style>
  <w:style w:type="paragraph" w:customStyle="1" w:styleId="Point2number">
    <w:name w:val="Point 2 (number)"/>
    <w:basedOn w:val="Normal"/>
    <w:rsid w:val="00D67E8B"/>
    <w:pPr>
      <w:numPr>
        <w:ilvl w:val="4"/>
        <w:numId w:val="18"/>
      </w:numPr>
      <w:spacing w:before="120" w:after="120"/>
      <w:jc w:val="both"/>
    </w:pPr>
    <w:rPr>
      <w:rFonts w:eastAsia="Times New Roman"/>
      <w:sz w:val="24"/>
    </w:rPr>
  </w:style>
  <w:style w:type="paragraph" w:customStyle="1" w:styleId="Point3number">
    <w:name w:val="Point 3 (number)"/>
    <w:basedOn w:val="Normal"/>
    <w:rsid w:val="00D67E8B"/>
    <w:pPr>
      <w:numPr>
        <w:ilvl w:val="6"/>
        <w:numId w:val="18"/>
      </w:numPr>
      <w:spacing w:before="120" w:after="120"/>
      <w:jc w:val="both"/>
    </w:pPr>
    <w:rPr>
      <w:rFonts w:eastAsia="Times New Roman"/>
      <w:sz w:val="24"/>
    </w:rPr>
  </w:style>
  <w:style w:type="paragraph" w:customStyle="1" w:styleId="Point0letter">
    <w:name w:val="Point 0 (letter)"/>
    <w:basedOn w:val="Normal"/>
    <w:rsid w:val="00D67E8B"/>
    <w:pPr>
      <w:numPr>
        <w:ilvl w:val="1"/>
        <w:numId w:val="18"/>
      </w:numPr>
      <w:spacing w:before="120" w:after="120"/>
      <w:jc w:val="both"/>
    </w:pPr>
    <w:rPr>
      <w:rFonts w:eastAsia="Times New Roman"/>
      <w:sz w:val="24"/>
    </w:rPr>
  </w:style>
  <w:style w:type="paragraph" w:customStyle="1" w:styleId="Point1letter">
    <w:name w:val="Point 1 (letter)"/>
    <w:basedOn w:val="Normal"/>
    <w:rsid w:val="00D67E8B"/>
    <w:pPr>
      <w:numPr>
        <w:ilvl w:val="3"/>
        <w:numId w:val="18"/>
      </w:numPr>
      <w:spacing w:before="120" w:after="120"/>
      <w:jc w:val="both"/>
    </w:pPr>
    <w:rPr>
      <w:rFonts w:eastAsia="Times New Roman"/>
      <w:sz w:val="24"/>
    </w:rPr>
  </w:style>
  <w:style w:type="paragraph" w:customStyle="1" w:styleId="Point2letter">
    <w:name w:val="Point 2 (letter)"/>
    <w:basedOn w:val="Normal"/>
    <w:rsid w:val="00D67E8B"/>
    <w:pPr>
      <w:numPr>
        <w:ilvl w:val="5"/>
        <w:numId w:val="18"/>
      </w:numPr>
      <w:spacing w:before="120" w:after="120"/>
      <w:jc w:val="both"/>
    </w:pPr>
    <w:rPr>
      <w:rFonts w:eastAsia="Times New Roman"/>
      <w:sz w:val="24"/>
    </w:rPr>
  </w:style>
  <w:style w:type="paragraph" w:customStyle="1" w:styleId="Point3letter">
    <w:name w:val="Point 3 (letter)"/>
    <w:basedOn w:val="Normal"/>
    <w:rsid w:val="00D67E8B"/>
    <w:pPr>
      <w:numPr>
        <w:ilvl w:val="7"/>
        <w:numId w:val="18"/>
      </w:numPr>
      <w:spacing w:before="120" w:after="120"/>
      <w:jc w:val="both"/>
    </w:pPr>
    <w:rPr>
      <w:rFonts w:eastAsia="Times New Roman"/>
      <w:sz w:val="24"/>
    </w:rPr>
  </w:style>
  <w:style w:type="paragraph" w:customStyle="1" w:styleId="Point4letter">
    <w:name w:val="Point 4 (letter)"/>
    <w:basedOn w:val="Normal"/>
    <w:rsid w:val="00D67E8B"/>
    <w:pPr>
      <w:numPr>
        <w:ilvl w:val="8"/>
        <w:numId w:val="18"/>
      </w:numPr>
      <w:spacing w:before="120" w:after="120"/>
      <w:jc w:val="both"/>
    </w:pPr>
    <w:rPr>
      <w:rFonts w:eastAsia="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E8B"/>
    <w:rPr>
      <w:rFonts w:eastAsiaTheme="minorEastAsia"/>
      <w:sz w:val="22"/>
      <w:szCs w:val="24"/>
      <w:lang w:val="en-GB"/>
    </w:rPr>
  </w:style>
  <w:style w:type="paragraph" w:styleId="Heading1">
    <w:name w:val="heading 1"/>
    <w:basedOn w:val="Normal"/>
    <w:qFormat/>
    <w:pPr>
      <w:keepNext/>
      <w:outlineLvl w:val="0"/>
    </w:pPr>
    <w:rPr>
      <w:rFonts w:ascii="Arial" w:eastAsia="Arial Unicode MS" w:hAnsi="Arial" w:cs="Arial"/>
      <w:caps/>
      <w:kern w:val="36"/>
    </w:rPr>
  </w:style>
  <w:style w:type="paragraph" w:styleId="Heading7">
    <w:name w:val="heading 7"/>
    <w:basedOn w:val="Normal"/>
    <w:next w:val="Normal"/>
    <w:qFormat/>
    <w:pPr>
      <w:spacing w:before="240" w:after="60"/>
      <w:outlineLvl w:val="6"/>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cs="Courier New"/>
      <w:sz w:val="20"/>
      <w:szCs w:val="20"/>
    </w:rPr>
  </w:style>
  <w:style w:type="character" w:styleId="Hyperlink">
    <w:name w:val="Hyperlink"/>
    <w:semiHidden/>
    <w:rPr>
      <w:color w:val="0000FF"/>
      <w:u w:val="single"/>
    </w:rPr>
  </w:style>
  <w:style w:type="paragraph" w:styleId="Footer">
    <w:name w:val="footer"/>
    <w:basedOn w:val="Normal"/>
    <w:link w:val="FooterChar"/>
    <w:semiHidden/>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pPr>
      <w:jc w:val="both"/>
    </w:pPr>
    <w:rPr>
      <w:rFonts w:ascii="Arial" w:hAnsi="Arial"/>
      <w:iCs/>
    </w:rPr>
  </w:style>
  <w:style w:type="paragraph" w:styleId="Title">
    <w:name w:val="Title"/>
    <w:basedOn w:val="Normal"/>
    <w:qFormat/>
    <w:pPr>
      <w:jc w:val="center"/>
    </w:pPr>
    <w:rPr>
      <w:rFonts w:ascii="Arial" w:eastAsia="Arial Unicode MS" w:hAnsi="Arial" w:cs="Arial"/>
      <w:b/>
      <w:bCs/>
    </w:rPr>
  </w:style>
  <w:style w:type="paragraph" w:styleId="BodyTextIndent">
    <w:name w:val="Body Text Indent"/>
    <w:basedOn w:val="Normal"/>
    <w:semiHidden/>
    <w:pPr>
      <w:ind w:left="1440" w:hanging="720"/>
    </w:pPr>
    <w:rPr>
      <w:rFonts w:ascii="Arial" w:eastAsia="Arial Unicode MS" w:hAnsi="Arial" w:cs="Arial"/>
    </w:rPr>
  </w:style>
  <w:style w:type="paragraph" w:styleId="BodyTextIndent2">
    <w:name w:val="Body Text Indent 2"/>
    <w:basedOn w:val="Normal"/>
    <w:semiHidden/>
    <w:pPr>
      <w:ind w:left="720" w:hanging="720"/>
    </w:pPr>
    <w:rPr>
      <w:rFonts w:ascii="Arial" w:eastAsia="Arial Unicode MS" w:hAnsi="Arial" w:cs="Arial"/>
    </w:rPr>
  </w:style>
  <w:style w:type="paragraph" w:styleId="DocumentMap">
    <w:name w:val="Document Map"/>
    <w:basedOn w:val="Normal"/>
    <w:semiHidden/>
    <w:pPr>
      <w:shd w:val="clear" w:color="auto" w:fill="000080"/>
    </w:pPr>
    <w:rPr>
      <w:rFonts w:ascii="Tahoma" w:hAnsi="Tahoma" w:cs="Tahoma"/>
      <w:sz w:val="20"/>
      <w:szCs w:val="20"/>
    </w:rPr>
  </w:style>
  <w:style w:type="paragraph" w:styleId="ListParagraph">
    <w:name w:val="List Paragraph"/>
    <w:basedOn w:val="Normal"/>
    <w:uiPriority w:val="34"/>
    <w:qFormat/>
    <w:rsid w:val="00A430E1"/>
    <w:pPr>
      <w:spacing w:after="200" w:line="276" w:lineRule="auto"/>
      <w:ind w:left="720"/>
      <w:contextualSpacing/>
    </w:pPr>
    <w:rPr>
      <w:rFonts w:ascii="Calibri" w:eastAsia="Calibri" w:hAnsi="Calibri"/>
      <w:szCs w:val="22"/>
    </w:rPr>
  </w:style>
  <w:style w:type="paragraph" w:styleId="Header">
    <w:name w:val="header"/>
    <w:basedOn w:val="Normal"/>
    <w:link w:val="HeaderChar"/>
    <w:uiPriority w:val="99"/>
    <w:unhideWhenUsed/>
    <w:rsid w:val="00892722"/>
    <w:pPr>
      <w:tabs>
        <w:tab w:val="center" w:pos="4320"/>
        <w:tab w:val="right" w:pos="8640"/>
      </w:tabs>
    </w:pPr>
  </w:style>
  <w:style w:type="character" w:customStyle="1" w:styleId="HeaderChar">
    <w:name w:val="Header Char"/>
    <w:link w:val="Header"/>
    <w:uiPriority w:val="99"/>
    <w:rsid w:val="00892722"/>
    <w:rPr>
      <w:sz w:val="24"/>
      <w:szCs w:val="24"/>
      <w:lang w:val="en-GB"/>
    </w:rPr>
  </w:style>
  <w:style w:type="character" w:customStyle="1" w:styleId="FooterChar">
    <w:name w:val="Footer Char"/>
    <w:link w:val="Footer"/>
    <w:semiHidden/>
    <w:rsid w:val="005C3AC4"/>
    <w:rPr>
      <w:sz w:val="24"/>
      <w:szCs w:val="24"/>
    </w:rPr>
  </w:style>
  <w:style w:type="paragraph" w:styleId="FootnoteText">
    <w:name w:val="footnote text"/>
    <w:basedOn w:val="Normal"/>
    <w:link w:val="FootnoteTextChar"/>
    <w:uiPriority w:val="99"/>
    <w:unhideWhenUsed/>
    <w:rsid w:val="00D67E8B"/>
    <w:rPr>
      <w:sz w:val="24"/>
    </w:rPr>
  </w:style>
  <w:style w:type="character" w:customStyle="1" w:styleId="FootnoteTextChar">
    <w:name w:val="Footnote Text Char"/>
    <w:basedOn w:val="DefaultParagraphFont"/>
    <w:link w:val="FootnoteText"/>
    <w:uiPriority w:val="99"/>
    <w:rsid w:val="00D67E8B"/>
    <w:rPr>
      <w:rFonts w:eastAsiaTheme="minorEastAsia"/>
      <w:sz w:val="24"/>
      <w:szCs w:val="24"/>
      <w:lang w:val="en-GB"/>
    </w:rPr>
  </w:style>
  <w:style w:type="character" w:styleId="FootnoteReference">
    <w:name w:val="footnote reference"/>
    <w:basedOn w:val="DefaultParagraphFont"/>
    <w:uiPriority w:val="99"/>
    <w:unhideWhenUsed/>
    <w:rsid w:val="00D67E8B"/>
    <w:rPr>
      <w:vertAlign w:val="superscript"/>
    </w:rPr>
  </w:style>
  <w:style w:type="paragraph" w:customStyle="1" w:styleId="Point0number">
    <w:name w:val="Point 0 (number)"/>
    <w:basedOn w:val="Normal"/>
    <w:rsid w:val="00D67E8B"/>
    <w:pPr>
      <w:numPr>
        <w:numId w:val="18"/>
      </w:numPr>
      <w:spacing w:before="120" w:after="120"/>
      <w:jc w:val="both"/>
    </w:pPr>
    <w:rPr>
      <w:rFonts w:eastAsia="Times New Roman"/>
      <w:sz w:val="24"/>
    </w:rPr>
  </w:style>
  <w:style w:type="paragraph" w:customStyle="1" w:styleId="Point1number">
    <w:name w:val="Point 1 (number)"/>
    <w:basedOn w:val="Normal"/>
    <w:rsid w:val="00D67E8B"/>
    <w:pPr>
      <w:numPr>
        <w:ilvl w:val="2"/>
        <w:numId w:val="18"/>
      </w:numPr>
      <w:spacing w:before="120" w:after="120"/>
      <w:jc w:val="both"/>
    </w:pPr>
    <w:rPr>
      <w:rFonts w:eastAsia="Times New Roman"/>
      <w:sz w:val="24"/>
    </w:rPr>
  </w:style>
  <w:style w:type="paragraph" w:customStyle="1" w:styleId="Point2number">
    <w:name w:val="Point 2 (number)"/>
    <w:basedOn w:val="Normal"/>
    <w:rsid w:val="00D67E8B"/>
    <w:pPr>
      <w:numPr>
        <w:ilvl w:val="4"/>
        <w:numId w:val="18"/>
      </w:numPr>
      <w:spacing w:before="120" w:after="120"/>
      <w:jc w:val="both"/>
    </w:pPr>
    <w:rPr>
      <w:rFonts w:eastAsia="Times New Roman"/>
      <w:sz w:val="24"/>
    </w:rPr>
  </w:style>
  <w:style w:type="paragraph" w:customStyle="1" w:styleId="Point3number">
    <w:name w:val="Point 3 (number)"/>
    <w:basedOn w:val="Normal"/>
    <w:rsid w:val="00D67E8B"/>
    <w:pPr>
      <w:numPr>
        <w:ilvl w:val="6"/>
        <w:numId w:val="18"/>
      </w:numPr>
      <w:spacing w:before="120" w:after="120"/>
      <w:jc w:val="both"/>
    </w:pPr>
    <w:rPr>
      <w:rFonts w:eastAsia="Times New Roman"/>
      <w:sz w:val="24"/>
    </w:rPr>
  </w:style>
  <w:style w:type="paragraph" w:customStyle="1" w:styleId="Point0letter">
    <w:name w:val="Point 0 (letter)"/>
    <w:basedOn w:val="Normal"/>
    <w:rsid w:val="00D67E8B"/>
    <w:pPr>
      <w:numPr>
        <w:ilvl w:val="1"/>
        <w:numId w:val="18"/>
      </w:numPr>
      <w:spacing w:before="120" w:after="120"/>
      <w:jc w:val="both"/>
    </w:pPr>
    <w:rPr>
      <w:rFonts w:eastAsia="Times New Roman"/>
      <w:sz w:val="24"/>
    </w:rPr>
  </w:style>
  <w:style w:type="paragraph" w:customStyle="1" w:styleId="Point1letter">
    <w:name w:val="Point 1 (letter)"/>
    <w:basedOn w:val="Normal"/>
    <w:rsid w:val="00D67E8B"/>
    <w:pPr>
      <w:numPr>
        <w:ilvl w:val="3"/>
        <w:numId w:val="18"/>
      </w:numPr>
      <w:spacing w:before="120" w:after="120"/>
      <w:jc w:val="both"/>
    </w:pPr>
    <w:rPr>
      <w:rFonts w:eastAsia="Times New Roman"/>
      <w:sz w:val="24"/>
    </w:rPr>
  </w:style>
  <w:style w:type="paragraph" w:customStyle="1" w:styleId="Point2letter">
    <w:name w:val="Point 2 (letter)"/>
    <w:basedOn w:val="Normal"/>
    <w:rsid w:val="00D67E8B"/>
    <w:pPr>
      <w:numPr>
        <w:ilvl w:val="5"/>
        <w:numId w:val="18"/>
      </w:numPr>
      <w:spacing w:before="120" w:after="120"/>
      <w:jc w:val="both"/>
    </w:pPr>
    <w:rPr>
      <w:rFonts w:eastAsia="Times New Roman"/>
      <w:sz w:val="24"/>
    </w:rPr>
  </w:style>
  <w:style w:type="paragraph" w:customStyle="1" w:styleId="Point3letter">
    <w:name w:val="Point 3 (letter)"/>
    <w:basedOn w:val="Normal"/>
    <w:rsid w:val="00D67E8B"/>
    <w:pPr>
      <w:numPr>
        <w:ilvl w:val="7"/>
        <w:numId w:val="18"/>
      </w:numPr>
      <w:spacing w:before="120" w:after="120"/>
      <w:jc w:val="both"/>
    </w:pPr>
    <w:rPr>
      <w:rFonts w:eastAsia="Times New Roman"/>
      <w:sz w:val="24"/>
    </w:rPr>
  </w:style>
  <w:style w:type="paragraph" w:customStyle="1" w:styleId="Point4letter">
    <w:name w:val="Point 4 (letter)"/>
    <w:basedOn w:val="Normal"/>
    <w:rsid w:val="00D67E8B"/>
    <w:pPr>
      <w:numPr>
        <w:ilvl w:val="8"/>
        <w:numId w:val="18"/>
      </w:numPr>
      <w:spacing w:before="120" w:after="120"/>
      <w:jc w:val="both"/>
    </w:pPr>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candykuhl:Library:Application%20Support:Microsoft:Office:User%20Templates:My%20Templates:ISPL%20Docs:ISPL%20Document%20Template%20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4A521-6546-A54B-864B-1C1BAFED6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ISPL Document Template 2013.dotx</Template>
  <TotalTime>3</TotalTime>
  <Pages>8</Pages>
  <Words>2345</Words>
  <Characters>13371</Characters>
  <Application>Microsoft Macintosh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lpstr>
    </vt:vector>
  </TitlesOfParts>
  <Company>TOSHIBA</Company>
  <LinksUpToDate>false</LinksUpToDate>
  <CharactersWithSpaces>15685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Jean Kay</dc:creator>
  <cp:keywords/>
  <cp:lastModifiedBy>Jean Kay</cp:lastModifiedBy>
  <cp:revision>1</cp:revision>
  <cp:lastPrinted>2013-02-13T09:00:00Z</cp:lastPrinted>
  <dcterms:created xsi:type="dcterms:W3CDTF">2013-11-29T16:08:00Z</dcterms:created>
  <dcterms:modified xsi:type="dcterms:W3CDTF">2013-11-29T16:11:00Z</dcterms:modified>
</cp:coreProperties>
</file>